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adjustRightInd w:val="0"/>
        <w:snapToGrid w:val="0"/>
        <w:spacing w:line="520" w:lineRule="exact"/>
        <w:rPr>
          <w:color w:val="000000"/>
          <w:szCs w:val="32"/>
        </w:rPr>
      </w:pPr>
    </w:p>
    <w:p>
      <w:pPr>
        <w:spacing w:line="520" w:lineRule="exact"/>
        <w:jc w:val="center"/>
        <w:rPr>
          <w:rFonts w:hint="eastAsia"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天津市蓟州区人民政府</w:t>
      </w:r>
      <w:r>
        <w:rPr>
          <w:rFonts w:hint="eastAsia" w:ascii="方正小标宋_GBK" w:eastAsia="方正小标宋_GBK" w:cs="Times New Roman"/>
          <w:sz w:val="44"/>
          <w:szCs w:val="44"/>
          <w:lang w:eastAsia="zh-CN"/>
        </w:rPr>
        <w:t>办公室</w:t>
      </w:r>
      <w:r>
        <w:rPr>
          <w:rFonts w:hint="eastAsia" w:ascii="方正小标宋_GBK" w:hAnsi="Times New Roman" w:eastAsia="方正小标宋_GBK" w:cs="Times New Roman"/>
          <w:sz w:val="44"/>
          <w:szCs w:val="44"/>
        </w:rPr>
        <w:t>关于印发</w:t>
      </w:r>
    </w:p>
    <w:p>
      <w:pPr>
        <w:spacing w:line="520" w:lineRule="exact"/>
        <w:jc w:val="center"/>
        <w:rPr>
          <w:rFonts w:hint="eastAsia"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蓟州区加强和规范事中事后监管计划</w:t>
      </w:r>
    </w:p>
    <w:p>
      <w:pPr>
        <w:spacing w:line="520" w:lineRule="exact"/>
        <w:jc w:val="center"/>
        <w:rPr>
          <w:rFonts w:hint="eastAsia"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任务清单的通知</w:t>
      </w:r>
    </w:p>
    <w:p>
      <w:pPr>
        <w:spacing w:line="520" w:lineRule="exact"/>
        <w:jc w:val="center"/>
        <w:rPr>
          <w:rFonts w:hint="eastAsia" w:ascii="方正小标宋_GBK"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各乡镇人民政府和街道办事处，各委、办、局，各直属单位：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为深入贯彻落实《国务院关于加强和规范事中事后监管的指导意见》（国发〔2019〕18号）和《天津市人民政府关于加强和规范事中事后监管的实施意见》（津政发〔2020〕17号）</w:t>
      </w:r>
      <w:r>
        <w:rPr>
          <w:rFonts w:hint="eastAsia" w:ascii="Times New Roman" w:hAnsi="Times New Roman" w:eastAsia="仿宋_GB2312"/>
          <w:sz w:val="32"/>
          <w:szCs w:val="32"/>
        </w:rPr>
        <w:t>精神，深化“放管服”改革，加快</w:t>
      </w:r>
      <w:r>
        <w:rPr>
          <w:rFonts w:hint="eastAsia" w:ascii="Times New Roman" w:hAnsi="Times New Roman" w:eastAsia="仿宋_GB2312"/>
          <w:sz w:val="32"/>
          <w:szCs w:val="32"/>
          <w:lang w:eastAsia="zh-CN"/>
        </w:rPr>
        <w:t>推进</w:t>
      </w:r>
      <w:r>
        <w:rPr>
          <w:rFonts w:hint="eastAsia" w:ascii="Times New Roman" w:hAnsi="Times New Roman" w:eastAsia="仿宋_GB2312"/>
          <w:sz w:val="32"/>
          <w:szCs w:val="32"/>
        </w:rPr>
        <w:t>政府职能转变，结合我</w:t>
      </w:r>
      <w:r>
        <w:rPr>
          <w:rFonts w:hint="eastAsia" w:ascii="Times New Roman" w:hAnsi="Times New Roman" w:eastAsia="仿宋_GB2312"/>
          <w:sz w:val="32"/>
          <w:szCs w:val="32"/>
          <w:lang w:eastAsia="zh-CN"/>
        </w:rPr>
        <w:t>区</w:t>
      </w:r>
      <w:r>
        <w:rPr>
          <w:rFonts w:hint="eastAsia" w:ascii="Times New Roman" w:hAnsi="Times New Roman" w:eastAsia="仿宋_GB2312"/>
          <w:sz w:val="32"/>
          <w:szCs w:val="32"/>
        </w:rPr>
        <w:t>实际，制定</w:t>
      </w:r>
      <w:r>
        <w:rPr>
          <w:rFonts w:hint="eastAsia" w:ascii="Times New Roman" w:hAnsi="Times New Roman" w:eastAsia="仿宋_GB2312"/>
          <w:sz w:val="32"/>
          <w:szCs w:val="32"/>
          <w:lang w:eastAsia="zh-CN"/>
        </w:rPr>
        <w:t>《蓟州区</w:t>
      </w:r>
      <w:r>
        <w:rPr>
          <w:rFonts w:hint="eastAsia" w:ascii="Times New Roman" w:hAnsi="Times New Roman" w:eastAsia="仿宋_GB2312"/>
          <w:sz w:val="32"/>
          <w:szCs w:val="32"/>
        </w:rPr>
        <w:t>加强和规范事中事后监管计划任务清单</w:t>
      </w:r>
      <w:r>
        <w:rPr>
          <w:rFonts w:hint="eastAsia" w:ascii="Times New Roman" w:hAnsi="Times New Roman" w:eastAsia="仿宋_GB2312"/>
          <w:sz w:val="32"/>
          <w:szCs w:val="32"/>
          <w:lang w:eastAsia="zh-CN"/>
        </w:rPr>
        <w:t>》（以下简称《任务清单》）</w:t>
      </w:r>
      <w:r>
        <w:rPr>
          <w:rFonts w:hint="eastAsia" w:ascii="Times New Roman" w:hAnsi="Times New Roman" w:eastAsia="仿宋_GB2312"/>
          <w:sz w:val="32"/>
          <w:szCs w:val="32"/>
        </w:rPr>
        <w:t>。现将</w:t>
      </w:r>
      <w:r>
        <w:rPr>
          <w:rFonts w:hint="eastAsia" w:ascii="Times New Roman" w:hAnsi="Times New Roman" w:eastAsia="仿宋_GB2312"/>
          <w:sz w:val="32"/>
          <w:szCs w:val="32"/>
          <w:lang w:eastAsia="zh-CN"/>
        </w:rPr>
        <w:t>《任务清单》</w:t>
      </w:r>
      <w:r>
        <w:rPr>
          <w:rFonts w:hint="eastAsia" w:ascii="Times New Roman" w:hAnsi="Times New Roman" w:eastAsia="仿宋_GB2312"/>
          <w:sz w:val="32"/>
          <w:szCs w:val="32"/>
        </w:rPr>
        <w:t>印发给你们，</w:t>
      </w:r>
      <w:r>
        <w:rPr>
          <w:rFonts w:hint="eastAsia" w:eastAsia="仿宋_GB2312"/>
          <w:sz w:val="32"/>
          <w:szCs w:val="32"/>
          <w:lang w:eastAsia="zh-CN"/>
        </w:rPr>
        <w:t>请认真抓好推动落实。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一、厘清监管事权，夯实监管责任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各部门</w:t>
      </w:r>
      <w:r>
        <w:rPr>
          <w:rFonts w:hint="eastAsia" w:ascii="Times New Roman" w:hAnsi="Times New Roman" w:eastAsia="仿宋_GB2312"/>
          <w:sz w:val="32"/>
          <w:szCs w:val="32"/>
          <w:lang w:eastAsia="zh-CN"/>
        </w:rPr>
        <w:t>、各单位</w:t>
      </w:r>
      <w:r>
        <w:rPr>
          <w:rFonts w:hint="eastAsia" w:ascii="Times New Roman" w:hAnsi="Times New Roman" w:eastAsia="仿宋_GB2312"/>
          <w:sz w:val="32"/>
          <w:szCs w:val="32"/>
        </w:rPr>
        <w:t>要</w:t>
      </w:r>
      <w:r>
        <w:rPr>
          <w:rFonts w:hint="eastAsia" w:ascii="Times New Roman" w:hAnsi="Times New Roman" w:eastAsia="仿宋_GB2312"/>
          <w:sz w:val="32"/>
          <w:szCs w:val="32"/>
          <w:lang w:eastAsia="zh-CN"/>
        </w:rPr>
        <w:t>落实“谁主管、谁监管”原则，严格按照法律法规和“三定”规定明确的监管职责和监管事项，依法对市场主体进行监管。</w:t>
      </w:r>
      <w:r>
        <w:rPr>
          <w:rFonts w:hint="eastAsia" w:ascii="Times New Roman" w:hAnsi="Times New Roman" w:eastAsia="仿宋_GB2312"/>
          <w:sz w:val="32"/>
          <w:szCs w:val="32"/>
        </w:rPr>
        <w:t>除法律法规另有规定外，各部门对负责审批或指导实施的行政许可事项进行事中事后监管。对已经取消审批但仍需监管的事项，主管部门负责事中事后监管；对下放审批权的事项，要同时调整监管层级，确保审批监管权责统一；对审批改为备案的事项，主管部门要加强核查，对未经备案从事相关经营活动的市场主体依法予以查处</w:t>
      </w:r>
      <w:r>
        <w:rPr>
          <w:rFonts w:hint="eastAsia" w:ascii="Times New Roman" w:hAnsi="Times New Roman"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二、依法履行监管职责，提高监管效能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坚持权责法定、依法行政，严格按照法律法规规定履行监管责任，规范监管行为。对直接涉及公共安全和人民群众生命健康等特殊重点领域，依法依规实行全覆盖重点监管，严格落实生产、经营、使用、监测、监管等各环节质量和安全责任，守住质量和安全底线。探索建立重点监管清单制度，控制重点监管事项数量，规范重点监管程序，对重点监管的生产经营单位，实行跟踪监管、直接指导。深入推进“互联网+监管”和“双随机、一公开”监管，强化信用监管，不断提升监管规范化、标准化水平和监管效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三、加强监管能力建设，强化责任落实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各部门、各单位要认真贯彻落实党中央</w:t>
      </w:r>
      <w:r>
        <w:rPr>
          <w:rFonts w:hint="eastAsia" w:eastAsia="仿宋_GB2312"/>
          <w:sz w:val="32"/>
          <w:szCs w:val="32"/>
          <w:lang w:val="en-US" w:eastAsia="zh-CN"/>
        </w:rPr>
        <w:t>、</w:t>
      </w:r>
      <w:r>
        <w:rPr>
          <w:rFonts w:hint="eastAsia" w:ascii="Times New Roman" w:hAnsi="Times New Roman" w:eastAsia="仿宋_GB2312"/>
          <w:sz w:val="32"/>
          <w:szCs w:val="32"/>
          <w:lang w:val="en-US" w:eastAsia="zh-CN"/>
        </w:rPr>
        <w:t>国务院</w:t>
      </w:r>
      <w:r>
        <w:rPr>
          <w:rFonts w:hint="eastAsia" w:eastAsia="仿宋_GB2312"/>
          <w:sz w:val="32"/>
          <w:szCs w:val="32"/>
          <w:lang w:val="en-US" w:eastAsia="zh-CN"/>
        </w:rPr>
        <w:t>和</w:t>
      </w:r>
      <w:r>
        <w:rPr>
          <w:rFonts w:hint="eastAsia" w:ascii="Times New Roman" w:hAnsi="Times New Roman" w:eastAsia="仿宋_GB2312"/>
          <w:sz w:val="32"/>
          <w:szCs w:val="32"/>
          <w:lang w:val="en-US" w:eastAsia="zh-CN"/>
        </w:rPr>
        <w:t>市委</w:t>
      </w:r>
      <w:r>
        <w:rPr>
          <w:rFonts w:hint="eastAsia" w:eastAsia="仿宋_GB2312"/>
          <w:sz w:val="32"/>
          <w:szCs w:val="32"/>
          <w:lang w:val="en-US" w:eastAsia="zh-CN"/>
        </w:rPr>
        <w:t>、</w:t>
      </w:r>
      <w:r>
        <w:rPr>
          <w:rFonts w:hint="eastAsia" w:ascii="Times New Roman" w:hAnsi="Times New Roman" w:eastAsia="仿宋_GB2312"/>
          <w:sz w:val="32"/>
          <w:szCs w:val="32"/>
          <w:lang w:val="en-US" w:eastAsia="zh-CN"/>
        </w:rPr>
        <w:t>市政府决策部署，以提高履职能力为核心，加强干部教育培训，提高干部执法办案、调解纠纷、监管服务能力，建设高素质、职业化、专业化的监管执法队伍，确保事中事后监管计划任务落实。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四、加强协同监管，构建社会共治格局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探索建立综合监管机制，整合相同或相近行业监管事项，科学确定参与部门，实施综合监管。建立健全跨部门、跨区域案件移送、情况通报和执法联动工作机制，增强执法合力。充分发挥社会监督作用, 畅通群众监督渠道，方便群众通过电话、现场、电子邮件、信件、互联网新媒体等多种渠道进行监督，形成全社会关注和参与监督的良好氛围。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附件：</w:t>
      </w:r>
      <w:r>
        <w:rPr>
          <w:rFonts w:hint="eastAsia" w:ascii="Times New Roman" w:hAnsi="Times New Roman" w:eastAsia="仿宋_GB2312"/>
          <w:sz w:val="32"/>
          <w:szCs w:val="32"/>
          <w:lang w:eastAsia="zh-CN"/>
        </w:rPr>
        <w:t>蓟州区</w:t>
      </w:r>
      <w:r>
        <w:rPr>
          <w:rFonts w:hint="eastAsia" w:ascii="Times New Roman" w:hAnsi="Times New Roman" w:eastAsia="仿宋_GB2312"/>
          <w:sz w:val="32"/>
          <w:szCs w:val="32"/>
        </w:rPr>
        <w:t>加强和规范事中事后监管计划任务清单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lang w:val="en-US" w:eastAsia="zh-CN"/>
        </w:rPr>
      </w:pPr>
      <w:r>
        <w:rPr>
          <w:rFonts w:hint="eastAsia" w:eastAsia="仿宋_GB2312"/>
          <w:sz w:val="32"/>
          <w:szCs w:val="32"/>
          <w:lang w:val="en-US" w:eastAsia="zh-CN"/>
        </w:rPr>
        <w:t xml:space="preserve">                    天津市蓟州区</w:t>
      </w:r>
      <w:bookmarkStart w:id="0" w:name="_GoBack"/>
      <w:bookmarkEnd w:id="0"/>
      <w:r>
        <w:rPr>
          <w:rFonts w:hint="eastAsia" w:eastAsia="仿宋_GB2312"/>
          <w:sz w:val="32"/>
          <w:szCs w:val="32"/>
          <w:lang w:val="en-US" w:eastAsia="zh-CN"/>
        </w:rPr>
        <w:t>人民政府办公室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 xml:space="preserve">                            2021年8月</w:t>
      </w:r>
      <w:r>
        <w:rPr>
          <w:rFonts w:hint="eastAsia" w:eastAsia="仿宋_GB2312"/>
          <w:sz w:val="32"/>
          <w:szCs w:val="32"/>
          <w:lang w:val="en-US" w:eastAsia="zh-CN"/>
        </w:rPr>
        <w:t>16</w:t>
      </w:r>
      <w:r>
        <w:rPr>
          <w:rFonts w:hint="eastAsia" w:ascii="Times New Roman" w:hAnsi="Times New Roman" w:eastAsia="仿宋_GB2312"/>
          <w:sz w:val="32"/>
          <w:szCs w:val="32"/>
          <w:lang w:val="en-US" w:eastAsia="zh-CN"/>
        </w:rPr>
        <w:t>日</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（此件主动公开）</w:t>
      </w:r>
    </w:p>
    <w:p>
      <w:pPr>
        <w:pStyle w:val="2"/>
        <w:rPr>
          <w:rFonts w:hint="eastAsia" w:ascii="仿宋_GB2312" w:hAnsi="仿宋_GB2312" w:eastAsia="仿宋_GB2312" w:cs="仿宋_GB2312"/>
          <w:color w:val="000000"/>
          <w:sz w:val="32"/>
          <w:szCs w:val="32"/>
          <w:lang w:val="en-US" w:eastAsia="zh-CN"/>
        </w:rPr>
      </w:pPr>
    </w:p>
    <w:p>
      <w:pPr>
        <w:pStyle w:val="2"/>
        <w:rPr>
          <w:rFonts w:hint="eastAsia" w:ascii="仿宋_GB2312" w:hAnsi="仿宋_GB2312" w:eastAsia="仿宋_GB2312" w:cs="仿宋_GB2312"/>
          <w:color w:val="000000"/>
          <w:sz w:val="32"/>
          <w:szCs w:val="32"/>
          <w:lang w:val="en-US" w:eastAsia="zh-CN"/>
        </w:rPr>
      </w:pPr>
    </w:p>
    <w:p>
      <w:pPr>
        <w:pStyle w:val="2"/>
        <w:rPr>
          <w:rFonts w:hint="eastAsia" w:ascii="仿宋_GB2312" w:hAnsi="仿宋_GB2312" w:eastAsia="仿宋_GB2312" w:cs="仿宋_GB2312"/>
          <w:color w:val="000000"/>
          <w:sz w:val="32"/>
          <w:szCs w:val="32"/>
          <w:lang w:val="en-US" w:eastAsia="zh-CN"/>
        </w:rPr>
      </w:pPr>
    </w:p>
    <w:p>
      <w:pPr>
        <w:pStyle w:val="2"/>
        <w:rPr>
          <w:rFonts w:hint="eastAsia" w:ascii="仿宋_GB2312" w:hAnsi="仿宋_GB2312" w:eastAsia="仿宋_GB2312" w:cs="仿宋_GB2312"/>
          <w:color w:val="000000"/>
          <w:sz w:val="32"/>
          <w:szCs w:val="32"/>
          <w:lang w:val="en-US" w:eastAsia="zh-CN"/>
        </w:rPr>
      </w:pPr>
    </w:p>
    <w:p>
      <w:pPr>
        <w:pStyle w:val="2"/>
        <w:rPr>
          <w:rFonts w:hint="eastAsia" w:ascii="仿宋_GB2312" w:hAnsi="仿宋_GB2312" w:eastAsia="仿宋_GB2312" w:cs="仿宋_GB2312"/>
          <w:color w:val="000000"/>
          <w:sz w:val="32"/>
          <w:szCs w:val="32"/>
          <w:lang w:val="en-US" w:eastAsia="zh-CN"/>
        </w:rPr>
      </w:pPr>
    </w:p>
    <w:p>
      <w:pPr>
        <w:pStyle w:val="2"/>
        <w:rPr>
          <w:rFonts w:hint="eastAsia" w:ascii="仿宋_GB2312" w:hAnsi="仿宋_GB2312" w:eastAsia="仿宋_GB2312" w:cs="仿宋_GB2312"/>
          <w:color w:val="000000"/>
          <w:sz w:val="32"/>
          <w:szCs w:val="32"/>
          <w:lang w:val="en-US" w:eastAsia="zh-CN"/>
        </w:rPr>
      </w:pPr>
    </w:p>
    <w:p>
      <w:pPr>
        <w:pStyle w:val="2"/>
        <w:rPr>
          <w:rFonts w:hint="eastAsia" w:ascii="仿宋_GB2312" w:hAnsi="仿宋_GB2312" w:eastAsia="仿宋_GB2312" w:cs="仿宋_GB2312"/>
          <w:color w:val="000000"/>
          <w:sz w:val="32"/>
          <w:szCs w:val="32"/>
          <w:lang w:val="en-US" w:eastAsia="zh-CN"/>
        </w:rPr>
      </w:pPr>
    </w:p>
    <w:p>
      <w:pPr>
        <w:pStyle w:val="2"/>
        <w:rPr>
          <w:rFonts w:hint="eastAsia" w:ascii="仿宋_GB2312" w:hAnsi="仿宋_GB2312" w:eastAsia="仿宋_GB2312" w:cs="仿宋_GB2312"/>
          <w:color w:val="000000"/>
          <w:sz w:val="32"/>
          <w:szCs w:val="32"/>
          <w:lang w:val="en-US" w:eastAsia="zh-CN"/>
        </w:rPr>
      </w:pPr>
    </w:p>
    <w:p>
      <w:pPr>
        <w:pStyle w:val="2"/>
        <w:rPr>
          <w:rFonts w:hint="eastAsia" w:ascii="仿宋_GB2312" w:hAnsi="仿宋_GB2312" w:eastAsia="仿宋_GB2312" w:cs="仿宋_GB2312"/>
          <w:color w:val="000000"/>
          <w:sz w:val="32"/>
          <w:szCs w:val="32"/>
          <w:lang w:val="en-US" w:eastAsia="zh-CN"/>
        </w:rPr>
      </w:pPr>
    </w:p>
    <w:p>
      <w:pPr>
        <w:pStyle w:val="2"/>
        <w:rPr>
          <w:rFonts w:hint="eastAsia" w:ascii="仿宋_GB2312" w:hAnsi="仿宋_GB2312" w:eastAsia="仿宋_GB2312" w:cs="仿宋_GB2312"/>
          <w:color w:val="000000"/>
          <w:sz w:val="32"/>
          <w:szCs w:val="32"/>
          <w:lang w:val="en-US" w:eastAsia="zh-CN"/>
        </w:rPr>
      </w:pPr>
    </w:p>
    <w:p>
      <w:pPr>
        <w:pStyle w:val="2"/>
        <w:rPr>
          <w:rFonts w:hint="eastAsia" w:ascii="仿宋_GB2312" w:hAnsi="仿宋_GB2312" w:eastAsia="仿宋_GB2312" w:cs="仿宋_GB2312"/>
          <w:color w:val="000000"/>
          <w:sz w:val="32"/>
          <w:szCs w:val="32"/>
          <w:lang w:val="en-US" w:eastAsia="zh-CN"/>
        </w:rPr>
      </w:pPr>
    </w:p>
    <w:p>
      <w:pPr>
        <w:pStyle w:val="2"/>
        <w:rPr>
          <w:rFonts w:hint="eastAsia" w:ascii="仿宋_GB2312" w:hAnsi="仿宋_GB2312" w:eastAsia="仿宋_GB2312" w:cs="仿宋_GB2312"/>
          <w:color w:val="000000"/>
          <w:sz w:val="32"/>
          <w:szCs w:val="32"/>
          <w:lang w:val="en-US" w:eastAsia="zh-CN"/>
        </w:rPr>
      </w:pPr>
    </w:p>
    <w:p>
      <w:pPr>
        <w:pStyle w:val="2"/>
        <w:rPr>
          <w:rFonts w:hint="eastAsia" w:ascii="仿宋_GB2312" w:hAnsi="仿宋_GB2312" w:eastAsia="仿宋_GB2312" w:cs="仿宋_GB2312"/>
          <w:color w:val="000000"/>
          <w:sz w:val="32"/>
          <w:szCs w:val="32"/>
          <w:lang w:val="en-US" w:eastAsia="zh-CN"/>
        </w:rPr>
      </w:pPr>
    </w:p>
    <w:p>
      <w:pPr>
        <w:pStyle w:val="2"/>
        <w:rPr>
          <w:rFonts w:hint="eastAsia" w:ascii="仿宋_GB2312" w:hAnsi="仿宋_GB2312" w:eastAsia="仿宋_GB2312" w:cs="仿宋_GB2312"/>
          <w:color w:val="000000"/>
          <w:sz w:val="32"/>
          <w:szCs w:val="32"/>
          <w:lang w:val="en-US" w:eastAsia="zh-CN"/>
        </w:rPr>
      </w:pPr>
    </w:p>
    <w:p>
      <w:pPr>
        <w:pStyle w:val="2"/>
        <w:rPr>
          <w:rFonts w:hint="eastAsia" w:ascii="仿宋_GB2312" w:hAnsi="仿宋_GB2312" w:eastAsia="仿宋_GB2312" w:cs="仿宋_GB2312"/>
          <w:color w:val="000000"/>
          <w:sz w:val="32"/>
          <w:szCs w:val="32"/>
          <w:lang w:val="en-US" w:eastAsia="zh-CN"/>
        </w:rPr>
      </w:pPr>
    </w:p>
    <w:p>
      <w:pPr>
        <w:pStyle w:val="2"/>
        <w:rPr>
          <w:rFonts w:hint="eastAsia" w:ascii="仿宋_GB2312" w:hAnsi="仿宋_GB2312" w:eastAsia="仿宋_GB2312" w:cs="仿宋_GB2312"/>
          <w:color w:val="000000"/>
          <w:sz w:val="32"/>
          <w:szCs w:val="32"/>
          <w:lang w:val="en-US" w:eastAsia="zh-CN"/>
        </w:rPr>
      </w:pPr>
    </w:p>
    <w:p>
      <w:pPr>
        <w:pStyle w:val="2"/>
        <w:ind w:left="0" w:leftChars="0" w:firstLine="0" w:firstLineChars="0"/>
        <w:rPr>
          <w:rFonts w:hint="eastAsia" w:ascii="仿宋_GB2312" w:hAnsi="仿宋_GB2312" w:eastAsia="仿宋_GB2312" w:cs="仿宋_GB2312"/>
          <w:color w:val="000000"/>
          <w:sz w:val="32"/>
          <w:szCs w:val="32"/>
          <w:lang w:val="en-US" w:eastAsia="zh-CN"/>
        </w:rPr>
        <w:sectPr>
          <w:footerReference r:id="rId3" w:type="default"/>
          <w:pgSz w:w="11906" w:h="16838"/>
          <w:pgMar w:top="2098" w:right="1474" w:bottom="1985" w:left="1588" w:header="851" w:footer="992" w:gutter="0"/>
          <w:pgNumType w:fmt="numberInDash"/>
          <w:cols w:space="720" w:num="1"/>
          <w:titlePg/>
          <w:docGrid w:linePitch="312" w:charSpace="0"/>
        </w:sectPr>
      </w:pPr>
    </w:p>
    <w:p>
      <w:pPr>
        <w:pStyle w:val="2"/>
        <w:rPr>
          <w:rFonts w:hint="eastAsia"/>
          <w:lang w:val="en-US" w:eastAsia="zh-CN"/>
        </w:rPr>
      </w:pPr>
    </w:p>
    <w:p>
      <w:pPr>
        <w:widowControl/>
        <w:spacing w:line="590" w:lineRule="exact"/>
        <w:ind w:left="0" w:leftChars="0" w:right="0" w:rightChars="0"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蓟州区加强和规范事中事后监管计划任务清单</w:t>
      </w:r>
    </w:p>
    <w:p>
      <w:pPr>
        <w:widowControl/>
        <w:spacing w:line="590" w:lineRule="exact"/>
        <w:jc w:val="center"/>
        <w:rPr>
          <w:rFonts w:eastAsia="方正小标宋_GBK"/>
          <w:sz w:val="44"/>
          <w:szCs w:val="44"/>
        </w:rPr>
      </w:pPr>
    </w:p>
    <w:tbl>
      <w:tblPr>
        <w:tblStyle w:val="12"/>
        <w:tblW w:w="14087"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684"/>
        <w:gridCol w:w="8077"/>
        <w:gridCol w:w="1939"/>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blHeader/>
        </w:trPr>
        <w:tc>
          <w:tcPr>
            <w:tcW w:w="780" w:type="dxa"/>
            <w:noWrap w:val="0"/>
            <w:vAlign w:val="center"/>
          </w:tcPr>
          <w:p>
            <w:pPr>
              <w:spacing w:line="400" w:lineRule="exact"/>
              <w:jc w:val="center"/>
              <w:rPr>
                <w:rFonts w:hint="default" w:ascii="Times New Roman" w:hAnsi="Times New Roman" w:eastAsia="黑体" w:cs="Times New Roman"/>
                <w:b w:val="0"/>
                <w:bCs w:val="0"/>
                <w:sz w:val="28"/>
                <w:szCs w:val="21"/>
              </w:rPr>
            </w:pPr>
            <w:r>
              <w:rPr>
                <w:rFonts w:hint="default" w:ascii="Times New Roman" w:hAnsi="Times New Roman" w:eastAsia="黑体" w:cs="Times New Roman"/>
                <w:b w:val="0"/>
                <w:bCs w:val="0"/>
                <w:sz w:val="28"/>
                <w:szCs w:val="21"/>
              </w:rPr>
              <w:t>序号</w:t>
            </w:r>
          </w:p>
        </w:tc>
        <w:tc>
          <w:tcPr>
            <w:tcW w:w="1684" w:type="dxa"/>
            <w:noWrap w:val="0"/>
            <w:vAlign w:val="center"/>
          </w:tcPr>
          <w:p>
            <w:pPr>
              <w:spacing w:line="400" w:lineRule="exact"/>
              <w:jc w:val="center"/>
              <w:rPr>
                <w:rFonts w:hint="default" w:ascii="Times New Roman" w:hAnsi="Times New Roman" w:eastAsia="黑体" w:cs="Times New Roman"/>
                <w:b w:val="0"/>
                <w:bCs w:val="0"/>
                <w:sz w:val="28"/>
                <w:szCs w:val="21"/>
              </w:rPr>
            </w:pPr>
            <w:r>
              <w:rPr>
                <w:rFonts w:hint="default" w:ascii="Times New Roman" w:hAnsi="Times New Roman" w:eastAsia="黑体" w:cs="Times New Roman"/>
                <w:b w:val="0"/>
                <w:bCs w:val="0"/>
                <w:sz w:val="28"/>
                <w:szCs w:val="21"/>
              </w:rPr>
              <w:t>任务名称</w:t>
            </w:r>
          </w:p>
        </w:tc>
        <w:tc>
          <w:tcPr>
            <w:tcW w:w="8077" w:type="dxa"/>
            <w:noWrap w:val="0"/>
            <w:vAlign w:val="center"/>
          </w:tcPr>
          <w:p>
            <w:pPr>
              <w:spacing w:line="400" w:lineRule="exact"/>
              <w:jc w:val="center"/>
              <w:rPr>
                <w:rFonts w:hint="default" w:ascii="Times New Roman" w:hAnsi="Times New Roman" w:eastAsia="黑体" w:cs="Times New Roman"/>
                <w:b w:val="0"/>
                <w:bCs w:val="0"/>
                <w:sz w:val="28"/>
                <w:szCs w:val="21"/>
              </w:rPr>
            </w:pPr>
            <w:r>
              <w:rPr>
                <w:rFonts w:hint="default" w:ascii="Times New Roman" w:hAnsi="Times New Roman" w:eastAsia="黑体" w:cs="Times New Roman"/>
                <w:b w:val="0"/>
                <w:bCs w:val="0"/>
                <w:sz w:val="28"/>
                <w:szCs w:val="21"/>
              </w:rPr>
              <w:t>任务内容</w:t>
            </w:r>
          </w:p>
        </w:tc>
        <w:tc>
          <w:tcPr>
            <w:tcW w:w="1939" w:type="dxa"/>
            <w:noWrap w:val="0"/>
            <w:vAlign w:val="center"/>
          </w:tcPr>
          <w:p>
            <w:pPr>
              <w:spacing w:line="400" w:lineRule="exact"/>
              <w:jc w:val="center"/>
              <w:rPr>
                <w:rFonts w:hint="default" w:ascii="Times New Roman" w:hAnsi="Times New Roman" w:eastAsia="黑体" w:cs="Times New Roman"/>
                <w:b w:val="0"/>
                <w:bCs w:val="0"/>
                <w:sz w:val="28"/>
                <w:szCs w:val="21"/>
              </w:rPr>
            </w:pPr>
            <w:r>
              <w:rPr>
                <w:rFonts w:hint="default" w:ascii="Times New Roman" w:hAnsi="Times New Roman" w:eastAsia="黑体" w:cs="Times New Roman"/>
                <w:b w:val="0"/>
                <w:bCs w:val="0"/>
                <w:sz w:val="28"/>
                <w:szCs w:val="21"/>
              </w:rPr>
              <w:t>责任单位</w:t>
            </w:r>
          </w:p>
        </w:tc>
        <w:tc>
          <w:tcPr>
            <w:tcW w:w="1607" w:type="dxa"/>
            <w:noWrap w:val="0"/>
            <w:vAlign w:val="center"/>
          </w:tcPr>
          <w:p>
            <w:pPr>
              <w:spacing w:line="400" w:lineRule="exact"/>
              <w:jc w:val="center"/>
              <w:rPr>
                <w:rFonts w:hint="default" w:ascii="Times New Roman" w:hAnsi="Times New Roman" w:eastAsia="黑体" w:cs="Times New Roman"/>
                <w:b w:val="0"/>
                <w:bCs w:val="0"/>
                <w:sz w:val="28"/>
                <w:szCs w:val="21"/>
              </w:rPr>
            </w:pPr>
            <w:r>
              <w:rPr>
                <w:rFonts w:hint="default" w:ascii="Times New Roman" w:hAnsi="Times New Roman" w:eastAsia="黑体" w:cs="Times New Roman"/>
                <w:b w:val="0"/>
                <w:bCs w:val="0"/>
                <w:sz w:val="28"/>
                <w:szCs w:val="21"/>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7" w:hRule="atLeast"/>
        </w:trPr>
        <w:tc>
          <w:tcPr>
            <w:tcW w:w="780" w:type="dxa"/>
            <w:vMerge w:val="restart"/>
            <w:noWrap w:val="0"/>
            <w:vAlign w:val="center"/>
          </w:tcPr>
          <w:p>
            <w:pPr>
              <w:spacing w:line="400" w:lineRule="exact"/>
              <w:jc w:val="center"/>
              <w:rPr>
                <w:rFonts w:hint="default" w:ascii="Times New Roman" w:hAnsi="Times New Roman" w:eastAsia="仿宋_GB2312" w:cs="Times New Roman"/>
                <w:b w:val="0"/>
                <w:bCs w:val="0"/>
                <w:sz w:val="22"/>
                <w:szCs w:val="20"/>
              </w:rPr>
            </w:pPr>
            <w:r>
              <w:rPr>
                <w:rFonts w:hint="default" w:ascii="Times New Roman" w:hAnsi="Times New Roman" w:eastAsia="仿宋_GB2312" w:cs="Times New Roman"/>
                <w:b w:val="0"/>
                <w:bCs w:val="0"/>
                <w:sz w:val="22"/>
                <w:szCs w:val="20"/>
              </w:rPr>
              <w:t>1</w:t>
            </w:r>
          </w:p>
        </w:tc>
        <w:tc>
          <w:tcPr>
            <w:tcW w:w="1684" w:type="dxa"/>
            <w:vMerge w:val="restart"/>
            <w:noWrap w:val="0"/>
            <w:vAlign w:val="center"/>
          </w:tcPr>
          <w:p>
            <w:pPr>
              <w:spacing w:line="400" w:lineRule="exact"/>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一、明确监管对象和范围</w:t>
            </w:r>
          </w:p>
        </w:tc>
        <w:tc>
          <w:tcPr>
            <w:tcW w:w="8077" w:type="dxa"/>
            <w:noWrap w:val="0"/>
            <w:vAlign w:val="center"/>
          </w:tcPr>
          <w:p>
            <w:pPr>
              <w:spacing w:line="400" w:lineRule="exact"/>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1．落实“谁主管、谁监管”原则，严格按照法律、法规和“三定”规定明确的监管职责和监管事项，依法对市场主体进行监管。做到监管全覆盖，杜绝监管盲区和真空。</w:t>
            </w:r>
          </w:p>
        </w:tc>
        <w:tc>
          <w:tcPr>
            <w:tcW w:w="1939" w:type="dxa"/>
            <w:noWrap w:val="0"/>
            <w:vAlign w:val="center"/>
          </w:tcPr>
          <w:p>
            <w:pPr>
              <w:spacing w:line="400" w:lineRule="exact"/>
              <w:ind w:left="0" w:leftChars="0" w:right="0" w:rightChars="0" w:firstLine="0" w:firstLineChars="0"/>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有关部门</w:t>
            </w:r>
          </w:p>
        </w:tc>
        <w:tc>
          <w:tcPr>
            <w:tcW w:w="1607" w:type="dxa"/>
            <w:noWrap w:val="0"/>
            <w:vAlign w:val="center"/>
          </w:tcPr>
          <w:p>
            <w:pPr>
              <w:spacing w:line="400" w:lineRule="exact"/>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780" w:type="dxa"/>
            <w:vMerge w:val="continue"/>
            <w:noWrap w:val="0"/>
            <w:vAlign w:val="center"/>
          </w:tcPr>
          <w:p>
            <w:pPr>
              <w:spacing w:line="400" w:lineRule="exact"/>
              <w:jc w:val="center"/>
              <w:rPr>
                <w:rFonts w:hint="default" w:ascii="Times New Roman" w:hAnsi="Times New Roman" w:eastAsia="仿宋_GB2312" w:cs="Times New Roman"/>
                <w:b w:val="0"/>
                <w:bCs w:val="0"/>
                <w:sz w:val="22"/>
                <w:szCs w:val="20"/>
              </w:rPr>
            </w:pPr>
          </w:p>
        </w:tc>
        <w:tc>
          <w:tcPr>
            <w:tcW w:w="1684" w:type="dxa"/>
            <w:vMerge w:val="continue"/>
            <w:noWrap w:val="0"/>
            <w:vAlign w:val="center"/>
          </w:tcPr>
          <w:p>
            <w:pPr>
              <w:spacing w:line="400" w:lineRule="exact"/>
              <w:rPr>
                <w:rFonts w:hint="default" w:ascii="Times New Roman" w:hAnsi="Times New Roman" w:eastAsia="仿宋_GB2312" w:cs="Times New Roman"/>
                <w:sz w:val="24"/>
                <w:szCs w:val="20"/>
              </w:rPr>
            </w:pPr>
          </w:p>
        </w:tc>
        <w:tc>
          <w:tcPr>
            <w:tcW w:w="8077" w:type="dxa"/>
            <w:noWrap w:val="0"/>
            <w:vAlign w:val="center"/>
          </w:tcPr>
          <w:p>
            <w:pPr>
              <w:spacing w:line="400" w:lineRule="exact"/>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2．依照法定职责，根据法律依据调整情况，及时做好权责清单中行政处罚类职权的调整。对各监管部门提出的问题，逐个进行界定，进一步调整和明确职责分工，防止推诿扯皮</w:t>
            </w:r>
          </w:p>
        </w:tc>
        <w:tc>
          <w:tcPr>
            <w:tcW w:w="1939" w:type="dxa"/>
            <w:noWrap w:val="0"/>
            <w:vAlign w:val="center"/>
          </w:tcPr>
          <w:p>
            <w:pPr>
              <w:spacing w:line="400" w:lineRule="exact"/>
              <w:ind w:left="0" w:leftChars="0" w:right="0" w:rightChars="0" w:firstLine="0" w:firstLineChars="0"/>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区委编办</w:t>
            </w:r>
          </w:p>
        </w:tc>
        <w:tc>
          <w:tcPr>
            <w:tcW w:w="1607" w:type="dxa"/>
            <w:noWrap w:val="0"/>
            <w:vAlign w:val="center"/>
          </w:tcPr>
          <w:p>
            <w:pPr>
              <w:jc w:val="center"/>
              <w:rPr>
                <w:rFonts w:hint="default" w:ascii="Times New Roman" w:hAnsi="Times New Roman" w:eastAsia="仿宋_GB2312" w:cs="Times New Roman"/>
                <w:sz w:val="32"/>
                <w:szCs w:val="20"/>
              </w:rPr>
            </w:pPr>
            <w:r>
              <w:rPr>
                <w:rFonts w:hint="default" w:ascii="Times New Roman" w:hAnsi="Times New Roman" w:eastAsia="仿宋_GB2312" w:cs="Times New Roman"/>
                <w:sz w:val="24"/>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3" w:hRule="atLeast"/>
        </w:trPr>
        <w:tc>
          <w:tcPr>
            <w:tcW w:w="780" w:type="dxa"/>
            <w:vMerge w:val="continue"/>
            <w:noWrap w:val="0"/>
            <w:vAlign w:val="center"/>
          </w:tcPr>
          <w:p>
            <w:pPr>
              <w:spacing w:line="400" w:lineRule="exact"/>
              <w:jc w:val="center"/>
              <w:rPr>
                <w:rFonts w:hint="default" w:ascii="Times New Roman" w:hAnsi="Times New Roman" w:eastAsia="仿宋_GB2312" w:cs="Times New Roman"/>
                <w:b w:val="0"/>
                <w:bCs w:val="0"/>
                <w:sz w:val="22"/>
                <w:szCs w:val="20"/>
              </w:rPr>
            </w:pPr>
          </w:p>
        </w:tc>
        <w:tc>
          <w:tcPr>
            <w:tcW w:w="1684" w:type="dxa"/>
            <w:vMerge w:val="continue"/>
            <w:noWrap w:val="0"/>
            <w:vAlign w:val="center"/>
          </w:tcPr>
          <w:p>
            <w:pPr>
              <w:spacing w:line="400" w:lineRule="exact"/>
              <w:rPr>
                <w:rFonts w:hint="default" w:ascii="Times New Roman" w:hAnsi="Times New Roman" w:eastAsia="仿宋_GB2312" w:cs="Times New Roman"/>
                <w:sz w:val="24"/>
                <w:szCs w:val="20"/>
              </w:rPr>
            </w:pPr>
          </w:p>
        </w:tc>
        <w:tc>
          <w:tcPr>
            <w:tcW w:w="8077" w:type="dxa"/>
            <w:noWrap w:val="0"/>
            <w:vAlign w:val="center"/>
          </w:tcPr>
          <w:p>
            <w:pPr>
              <w:spacing w:line="400" w:lineRule="exact"/>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 xml:space="preserve">3．梳理相对集中行政许可权改革和未实行相对集中行政许可权改革的行政许可事项，建立《蓟州区行政许可事项清单》。 </w:t>
            </w:r>
          </w:p>
          <w:p>
            <w:pPr>
              <w:spacing w:line="400" w:lineRule="exact"/>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实行相对集中行政许可权改革的行政许可事项，由主管部门负责监管；未实行相对集中行政许可权改革的行政许可事项，由审批或指导实施部门承担监管职责。对已经取消审批但仍需政府监管的事项和审批改为备案的事项，继续由原主管部门加强事中事后监管。</w:t>
            </w:r>
          </w:p>
        </w:tc>
        <w:tc>
          <w:tcPr>
            <w:tcW w:w="1939" w:type="dxa"/>
            <w:noWrap w:val="0"/>
            <w:vAlign w:val="center"/>
          </w:tcPr>
          <w:p>
            <w:pPr>
              <w:spacing w:line="400" w:lineRule="exact"/>
              <w:ind w:left="0" w:leftChars="0" w:right="0" w:rightChars="0" w:firstLine="0" w:firstLineChars="0"/>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区</w:t>
            </w:r>
            <w:r>
              <w:rPr>
                <w:rFonts w:hint="default" w:ascii="Times New Roman" w:hAnsi="Times New Roman" w:eastAsia="仿宋_GB2312" w:cs="Times New Roman"/>
                <w:sz w:val="24"/>
                <w:szCs w:val="20"/>
                <w:lang w:eastAsia="zh-CN"/>
              </w:rPr>
              <w:t>政务</w:t>
            </w:r>
            <w:r>
              <w:rPr>
                <w:rFonts w:hint="default" w:ascii="Times New Roman" w:hAnsi="Times New Roman" w:eastAsia="仿宋_GB2312" w:cs="Times New Roman"/>
                <w:sz w:val="24"/>
                <w:szCs w:val="20"/>
              </w:rPr>
              <w:t>服务办</w:t>
            </w:r>
          </w:p>
          <w:p>
            <w:pPr>
              <w:spacing w:line="400" w:lineRule="exact"/>
              <w:ind w:left="0" w:leftChars="0" w:right="0" w:rightChars="0" w:firstLine="0" w:firstLineChars="0"/>
              <w:jc w:val="center"/>
              <w:rPr>
                <w:rFonts w:hint="default" w:ascii="Times New Roman" w:hAnsi="Times New Roman" w:eastAsia="仿宋_GB2312" w:cs="Times New Roman"/>
                <w:sz w:val="24"/>
                <w:szCs w:val="20"/>
              </w:rPr>
            </w:pPr>
            <w:r>
              <w:rPr>
                <w:rFonts w:hint="eastAsia" w:eastAsia="仿宋_GB2312" w:cs="Times New Roman"/>
                <w:sz w:val="24"/>
                <w:szCs w:val="20"/>
                <w:lang w:eastAsia="zh-CN"/>
              </w:rPr>
              <w:t>有</w:t>
            </w:r>
            <w:r>
              <w:rPr>
                <w:rFonts w:hint="default" w:ascii="Times New Roman" w:hAnsi="Times New Roman" w:eastAsia="仿宋_GB2312" w:cs="Times New Roman"/>
                <w:sz w:val="24"/>
                <w:szCs w:val="20"/>
              </w:rPr>
              <w:t>关部门</w:t>
            </w:r>
          </w:p>
        </w:tc>
        <w:tc>
          <w:tcPr>
            <w:tcW w:w="1607" w:type="dxa"/>
            <w:noWrap w:val="0"/>
            <w:vAlign w:val="center"/>
          </w:tcPr>
          <w:p>
            <w:pPr>
              <w:jc w:val="center"/>
              <w:rPr>
                <w:rFonts w:hint="default" w:ascii="Times New Roman" w:hAnsi="Times New Roman" w:eastAsia="仿宋_GB2312" w:cs="Times New Roman"/>
                <w:sz w:val="32"/>
                <w:szCs w:val="20"/>
              </w:rPr>
            </w:pPr>
            <w:r>
              <w:rPr>
                <w:rFonts w:hint="default" w:ascii="Times New Roman" w:hAnsi="Times New Roman" w:eastAsia="仿宋_GB2312" w:cs="Times New Roman"/>
                <w:sz w:val="24"/>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0" w:hRule="atLeast"/>
        </w:trPr>
        <w:tc>
          <w:tcPr>
            <w:tcW w:w="780" w:type="dxa"/>
            <w:noWrap w:val="0"/>
            <w:vAlign w:val="center"/>
          </w:tcPr>
          <w:p>
            <w:pPr>
              <w:spacing w:line="400" w:lineRule="exact"/>
              <w:jc w:val="center"/>
              <w:rPr>
                <w:rFonts w:hint="default" w:ascii="Times New Roman" w:hAnsi="Times New Roman" w:eastAsia="仿宋_GB2312" w:cs="Times New Roman"/>
                <w:b w:val="0"/>
                <w:bCs w:val="0"/>
                <w:sz w:val="22"/>
                <w:szCs w:val="20"/>
              </w:rPr>
            </w:pPr>
            <w:r>
              <w:rPr>
                <w:rFonts w:hint="default" w:ascii="Times New Roman" w:hAnsi="Times New Roman" w:eastAsia="仿宋_GB2312" w:cs="Times New Roman"/>
                <w:b w:val="0"/>
                <w:bCs w:val="0"/>
                <w:sz w:val="22"/>
                <w:szCs w:val="20"/>
              </w:rPr>
              <w:t>2</w:t>
            </w:r>
          </w:p>
        </w:tc>
        <w:tc>
          <w:tcPr>
            <w:tcW w:w="1684" w:type="dxa"/>
            <w:noWrap w:val="0"/>
            <w:vAlign w:val="center"/>
          </w:tcPr>
          <w:p>
            <w:pPr>
              <w:spacing w:line="400" w:lineRule="exact"/>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二、健全监管规则和标准</w:t>
            </w:r>
          </w:p>
        </w:tc>
        <w:tc>
          <w:tcPr>
            <w:tcW w:w="8077" w:type="dxa"/>
            <w:noWrap w:val="0"/>
            <w:vAlign w:val="center"/>
          </w:tcPr>
          <w:p>
            <w:pPr>
              <w:spacing w:line="400" w:lineRule="exact"/>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1</w:t>
            </w:r>
            <w:r>
              <w:rPr>
                <w:rFonts w:hint="eastAsia" w:ascii="Times New Roman" w:hAnsi="Times New Roman" w:eastAsia="仿宋_GB2312" w:cs="Times New Roman"/>
                <w:sz w:val="24"/>
                <w:szCs w:val="20"/>
                <w:lang w:eastAsia="zh-CN"/>
              </w:rPr>
              <w:t>．</w:t>
            </w:r>
            <w:r>
              <w:rPr>
                <w:rFonts w:hint="default" w:ascii="Times New Roman" w:hAnsi="Times New Roman" w:eastAsia="仿宋_GB2312" w:cs="Times New Roman"/>
                <w:sz w:val="24"/>
                <w:szCs w:val="20"/>
              </w:rPr>
              <w:t>发挥公平竞争审查工作联席会议作用，加大对政策制定部门公平竞争审查的支持力度，对拟以政府名义出台的涉及市场主体经营活动的重大政策措施，及时会商、答复政策制定机关的意见征询，帮助把准政策界限，树立公平竞争审查权威性，提高公平竞争审查质量。加快清理废除妨碍统一市场和公平竞争的各种规定和做法，加强反不正当竞争统一执法。</w:t>
            </w:r>
          </w:p>
          <w:p>
            <w:pPr>
              <w:spacing w:line="400" w:lineRule="exact"/>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2</w:t>
            </w:r>
            <w:r>
              <w:rPr>
                <w:rFonts w:hint="eastAsia" w:ascii="Times New Roman" w:hAnsi="Times New Roman" w:eastAsia="仿宋_GB2312" w:cs="Times New Roman"/>
                <w:sz w:val="24"/>
                <w:szCs w:val="20"/>
                <w:lang w:eastAsia="zh-CN"/>
              </w:rPr>
              <w:t>．</w:t>
            </w:r>
            <w:r>
              <w:rPr>
                <w:rFonts w:hint="default" w:ascii="Times New Roman" w:hAnsi="Times New Roman" w:eastAsia="仿宋_GB2312" w:cs="Times New Roman"/>
                <w:sz w:val="24"/>
                <w:szCs w:val="20"/>
              </w:rPr>
              <w:t>鼓励企业、社会团体制定高于强制性标准的标准，开展标准自我声明公开并承诺执行落实。加强质量认证体系建设，对涉及安全、健康、环保等方面的产品依法实施强制性认证，做好本区强制性认证监管工作。</w:t>
            </w:r>
          </w:p>
        </w:tc>
        <w:tc>
          <w:tcPr>
            <w:tcW w:w="1939" w:type="dxa"/>
            <w:noWrap w:val="0"/>
            <w:vAlign w:val="center"/>
          </w:tcPr>
          <w:p>
            <w:pPr>
              <w:spacing w:line="400" w:lineRule="exact"/>
              <w:ind w:left="0" w:leftChars="0" w:right="0" w:rightChars="0" w:firstLine="0" w:firstLineChars="0"/>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区市场监管局</w:t>
            </w:r>
          </w:p>
        </w:tc>
        <w:tc>
          <w:tcPr>
            <w:tcW w:w="1607" w:type="dxa"/>
            <w:noWrap w:val="0"/>
            <w:vAlign w:val="center"/>
          </w:tcPr>
          <w:p>
            <w:pPr>
              <w:spacing w:line="400" w:lineRule="exact"/>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trPr>
        <w:tc>
          <w:tcPr>
            <w:tcW w:w="780" w:type="dxa"/>
            <w:noWrap w:val="0"/>
            <w:vAlign w:val="center"/>
          </w:tcPr>
          <w:p>
            <w:pPr>
              <w:spacing w:line="400" w:lineRule="exact"/>
              <w:jc w:val="center"/>
              <w:rPr>
                <w:rFonts w:hint="default" w:ascii="Times New Roman" w:hAnsi="Times New Roman" w:eastAsia="仿宋_GB2312" w:cs="Times New Roman"/>
                <w:b w:val="0"/>
                <w:bCs w:val="0"/>
                <w:sz w:val="22"/>
                <w:szCs w:val="20"/>
              </w:rPr>
            </w:pPr>
            <w:r>
              <w:rPr>
                <w:rFonts w:hint="default" w:ascii="Times New Roman" w:hAnsi="Times New Roman" w:eastAsia="仿宋_GB2312" w:cs="Times New Roman"/>
                <w:b w:val="0"/>
                <w:bCs w:val="0"/>
                <w:sz w:val="22"/>
                <w:szCs w:val="20"/>
              </w:rPr>
              <w:t>3</w:t>
            </w:r>
          </w:p>
        </w:tc>
        <w:tc>
          <w:tcPr>
            <w:tcW w:w="1684" w:type="dxa"/>
            <w:vMerge w:val="restart"/>
            <w:noWrap w:val="0"/>
            <w:vAlign w:val="center"/>
          </w:tcPr>
          <w:p>
            <w:pPr>
              <w:spacing w:line="400" w:lineRule="exact"/>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三、履行部门监管职责，规范日常监管</w:t>
            </w:r>
          </w:p>
        </w:tc>
        <w:tc>
          <w:tcPr>
            <w:tcW w:w="8077" w:type="dxa"/>
            <w:noWrap w:val="0"/>
            <w:vAlign w:val="center"/>
          </w:tcPr>
          <w:p>
            <w:pPr>
              <w:spacing w:line="400" w:lineRule="exact"/>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1</w:t>
            </w:r>
            <w:r>
              <w:rPr>
                <w:rFonts w:hint="eastAsia" w:ascii="Times New Roman" w:hAnsi="Times New Roman" w:eastAsia="仿宋_GB2312" w:cs="Times New Roman"/>
                <w:sz w:val="24"/>
                <w:szCs w:val="20"/>
                <w:lang w:eastAsia="zh-CN"/>
              </w:rPr>
              <w:t>．</w:t>
            </w:r>
            <w:r>
              <w:rPr>
                <w:rFonts w:hint="default" w:ascii="Times New Roman" w:hAnsi="Times New Roman" w:eastAsia="仿宋_GB2312" w:cs="Times New Roman"/>
                <w:sz w:val="24"/>
                <w:szCs w:val="20"/>
              </w:rPr>
              <w:t>加强粮食市场管理工作，维护粮食市场秩序</w:t>
            </w:r>
          </w:p>
        </w:tc>
        <w:tc>
          <w:tcPr>
            <w:tcW w:w="1939" w:type="dxa"/>
            <w:noWrap w:val="0"/>
            <w:vAlign w:val="center"/>
          </w:tcPr>
          <w:p>
            <w:pPr>
              <w:spacing w:line="400" w:lineRule="exact"/>
              <w:ind w:left="0" w:leftChars="0" w:right="0" w:rightChars="0" w:firstLine="0" w:firstLineChars="0"/>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区</w:t>
            </w:r>
            <w:r>
              <w:rPr>
                <w:rFonts w:hint="default" w:ascii="Times New Roman" w:hAnsi="Times New Roman" w:eastAsia="仿宋_GB2312" w:cs="Times New Roman"/>
                <w:sz w:val="24"/>
                <w:szCs w:val="20"/>
                <w:lang w:eastAsia="zh-CN"/>
              </w:rPr>
              <w:t>发展改革</w:t>
            </w:r>
            <w:r>
              <w:rPr>
                <w:rFonts w:hint="default" w:ascii="Times New Roman" w:hAnsi="Times New Roman" w:eastAsia="仿宋_GB2312" w:cs="Times New Roman"/>
                <w:sz w:val="24"/>
                <w:szCs w:val="20"/>
              </w:rPr>
              <w:t>委</w:t>
            </w:r>
          </w:p>
        </w:tc>
        <w:tc>
          <w:tcPr>
            <w:tcW w:w="1607" w:type="dxa"/>
            <w:noWrap w:val="0"/>
            <w:vAlign w:val="center"/>
          </w:tcPr>
          <w:p>
            <w:pPr>
              <w:spacing w:line="400" w:lineRule="exact"/>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trPr>
        <w:tc>
          <w:tcPr>
            <w:tcW w:w="780" w:type="dxa"/>
            <w:noWrap w:val="0"/>
            <w:vAlign w:val="center"/>
          </w:tcPr>
          <w:p>
            <w:pPr>
              <w:spacing w:line="400" w:lineRule="exact"/>
              <w:jc w:val="center"/>
              <w:rPr>
                <w:rFonts w:hint="default" w:ascii="Times New Roman" w:hAnsi="Times New Roman" w:eastAsia="仿宋_GB2312" w:cs="Times New Roman"/>
                <w:b w:val="0"/>
                <w:bCs w:val="0"/>
                <w:sz w:val="22"/>
                <w:szCs w:val="20"/>
              </w:rPr>
            </w:pPr>
            <w:r>
              <w:rPr>
                <w:rFonts w:hint="default" w:ascii="Times New Roman" w:hAnsi="Times New Roman" w:eastAsia="仿宋_GB2312" w:cs="Times New Roman"/>
                <w:b w:val="0"/>
                <w:bCs w:val="0"/>
                <w:sz w:val="22"/>
                <w:szCs w:val="20"/>
              </w:rPr>
              <w:t>4</w:t>
            </w:r>
          </w:p>
        </w:tc>
        <w:tc>
          <w:tcPr>
            <w:tcW w:w="1684" w:type="dxa"/>
            <w:vMerge w:val="continue"/>
            <w:noWrap w:val="0"/>
            <w:vAlign w:val="center"/>
          </w:tcPr>
          <w:p>
            <w:pPr>
              <w:spacing w:line="400" w:lineRule="exact"/>
              <w:rPr>
                <w:rFonts w:hint="default" w:ascii="Times New Roman" w:hAnsi="Times New Roman" w:eastAsia="仿宋_GB2312" w:cs="Times New Roman"/>
                <w:sz w:val="24"/>
                <w:szCs w:val="20"/>
              </w:rPr>
            </w:pPr>
          </w:p>
        </w:tc>
        <w:tc>
          <w:tcPr>
            <w:tcW w:w="8077" w:type="dxa"/>
            <w:noWrap w:val="0"/>
            <w:vAlign w:val="center"/>
          </w:tcPr>
          <w:p>
            <w:pPr>
              <w:spacing w:line="400" w:lineRule="exact"/>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2．加强住房和城乡建设领域监管。强化对建筑施工企业和监理、造价等中介服务机构资质及相关职业执业人员资格的管理。</w:t>
            </w:r>
          </w:p>
        </w:tc>
        <w:tc>
          <w:tcPr>
            <w:tcW w:w="1939" w:type="dxa"/>
            <w:noWrap w:val="0"/>
            <w:vAlign w:val="center"/>
          </w:tcPr>
          <w:p>
            <w:pPr>
              <w:spacing w:line="400" w:lineRule="exact"/>
              <w:ind w:left="0" w:leftChars="0" w:right="0" w:rightChars="0" w:firstLine="0" w:firstLineChars="0"/>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区</w:t>
            </w:r>
            <w:r>
              <w:rPr>
                <w:rFonts w:hint="default" w:ascii="Times New Roman" w:hAnsi="Times New Roman" w:eastAsia="仿宋_GB2312" w:cs="Times New Roman"/>
                <w:sz w:val="24"/>
                <w:szCs w:val="20"/>
                <w:lang w:eastAsia="zh-CN"/>
              </w:rPr>
              <w:t>住房建设</w:t>
            </w:r>
            <w:r>
              <w:rPr>
                <w:rFonts w:hint="default" w:ascii="Times New Roman" w:hAnsi="Times New Roman" w:eastAsia="仿宋_GB2312" w:cs="Times New Roman"/>
                <w:sz w:val="24"/>
                <w:szCs w:val="20"/>
              </w:rPr>
              <w:t>委</w:t>
            </w:r>
          </w:p>
        </w:tc>
        <w:tc>
          <w:tcPr>
            <w:tcW w:w="1607" w:type="dxa"/>
            <w:noWrap w:val="0"/>
            <w:vAlign w:val="center"/>
          </w:tcPr>
          <w:p>
            <w:pPr>
              <w:spacing w:line="400" w:lineRule="exact"/>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780" w:type="dxa"/>
            <w:noWrap w:val="0"/>
            <w:vAlign w:val="center"/>
          </w:tcPr>
          <w:p>
            <w:pPr>
              <w:widowControl/>
              <w:spacing w:line="400" w:lineRule="exact"/>
              <w:jc w:val="center"/>
              <w:rPr>
                <w:rFonts w:hint="default" w:ascii="Times New Roman" w:hAnsi="Times New Roman" w:eastAsia="仿宋_GB2312" w:cs="Times New Roman"/>
                <w:b w:val="0"/>
                <w:bCs w:val="0"/>
                <w:sz w:val="22"/>
                <w:szCs w:val="20"/>
              </w:rPr>
            </w:pPr>
            <w:r>
              <w:rPr>
                <w:rFonts w:hint="default" w:ascii="Times New Roman" w:hAnsi="Times New Roman" w:eastAsia="仿宋_GB2312" w:cs="Times New Roman"/>
                <w:b w:val="0"/>
                <w:bCs w:val="0"/>
                <w:sz w:val="22"/>
                <w:szCs w:val="20"/>
              </w:rPr>
              <w:t>5</w:t>
            </w:r>
          </w:p>
        </w:tc>
        <w:tc>
          <w:tcPr>
            <w:tcW w:w="1684" w:type="dxa"/>
            <w:vMerge w:val="continue"/>
            <w:noWrap w:val="0"/>
            <w:vAlign w:val="center"/>
          </w:tcPr>
          <w:p>
            <w:pPr>
              <w:widowControl/>
              <w:spacing w:line="400" w:lineRule="exact"/>
              <w:rPr>
                <w:rFonts w:hint="default" w:ascii="Times New Roman" w:hAnsi="Times New Roman" w:eastAsia="仿宋_GB2312" w:cs="Times New Roman"/>
                <w:kern w:val="0"/>
                <w:sz w:val="24"/>
                <w:szCs w:val="20"/>
              </w:rPr>
            </w:pPr>
          </w:p>
        </w:tc>
        <w:tc>
          <w:tcPr>
            <w:tcW w:w="8077" w:type="dxa"/>
            <w:noWrap w:val="0"/>
            <w:vAlign w:val="center"/>
          </w:tcPr>
          <w:p>
            <w:pPr>
              <w:widowControl/>
              <w:spacing w:line="400" w:lineRule="exact"/>
              <w:jc w:val="left"/>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3．加强农产品质量安全监督管理；加强有关农业生产资料和农业投入品的监督管理。</w:t>
            </w:r>
          </w:p>
        </w:tc>
        <w:tc>
          <w:tcPr>
            <w:tcW w:w="1939" w:type="dxa"/>
            <w:noWrap w:val="0"/>
            <w:vAlign w:val="center"/>
          </w:tcPr>
          <w:p>
            <w:pPr>
              <w:widowControl/>
              <w:spacing w:line="400" w:lineRule="exact"/>
              <w:ind w:left="0" w:leftChars="0" w:right="0" w:rightChars="0" w:firstLine="0" w:firstLineChars="0"/>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区农业农村委</w:t>
            </w:r>
          </w:p>
        </w:tc>
        <w:tc>
          <w:tcPr>
            <w:tcW w:w="1607" w:type="dxa"/>
            <w:noWrap w:val="0"/>
            <w:vAlign w:val="center"/>
          </w:tcPr>
          <w:p>
            <w:pPr>
              <w:widowControl/>
              <w:spacing w:line="400" w:lineRule="exact"/>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trPr>
        <w:tc>
          <w:tcPr>
            <w:tcW w:w="780" w:type="dxa"/>
            <w:noWrap w:val="0"/>
            <w:vAlign w:val="center"/>
          </w:tcPr>
          <w:p>
            <w:pPr>
              <w:widowControl/>
              <w:spacing w:line="400" w:lineRule="exact"/>
              <w:jc w:val="center"/>
              <w:rPr>
                <w:rFonts w:hint="default" w:ascii="Times New Roman" w:hAnsi="Times New Roman" w:eastAsia="仿宋_GB2312" w:cs="Times New Roman"/>
                <w:b w:val="0"/>
                <w:bCs w:val="0"/>
                <w:sz w:val="22"/>
                <w:szCs w:val="20"/>
              </w:rPr>
            </w:pPr>
            <w:r>
              <w:rPr>
                <w:rFonts w:hint="default" w:ascii="Times New Roman" w:hAnsi="Times New Roman" w:eastAsia="仿宋_GB2312" w:cs="Times New Roman"/>
                <w:b w:val="0"/>
                <w:bCs w:val="0"/>
                <w:sz w:val="22"/>
                <w:szCs w:val="20"/>
              </w:rPr>
              <w:t>6</w:t>
            </w:r>
          </w:p>
        </w:tc>
        <w:tc>
          <w:tcPr>
            <w:tcW w:w="1684" w:type="dxa"/>
            <w:vMerge w:val="restart"/>
            <w:noWrap w:val="0"/>
            <w:vAlign w:val="center"/>
          </w:tcPr>
          <w:p>
            <w:pPr>
              <w:spacing w:line="400" w:lineRule="exact"/>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三、履行部门监管职责，规范日常监管</w:t>
            </w:r>
          </w:p>
          <w:p>
            <w:pPr>
              <w:widowControl/>
              <w:spacing w:line="400" w:lineRule="exact"/>
              <w:rPr>
                <w:rFonts w:hint="default" w:ascii="Times New Roman" w:hAnsi="Times New Roman" w:eastAsia="仿宋_GB2312" w:cs="Times New Roman"/>
                <w:kern w:val="0"/>
                <w:sz w:val="24"/>
                <w:szCs w:val="20"/>
              </w:rPr>
            </w:pPr>
          </w:p>
        </w:tc>
        <w:tc>
          <w:tcPr>
            <w:tcW w:w="8077" w:type="dxa"/>
            <w:noWrap w:val="0"/>
            <w:vAlign w:val="center"/>
          </w:tcPr>
          <w:p>
            <w:pPr>
              <w:widowControl/>
              <w:spacing w:line="400" w:lineRule="exact"/>
              <w:jc w:val="left"/>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4．加强人力资源和社会保障领域监管。对劳动用工管理情况、社会保险法律法规执行情况、人力资源市场法律法规执行情况、职业技能培训、劳务派遣法律法规执行情况等进行监管。</w:t>
            </w:r>
          </w:p>
        </w:tc>
        <w:tc>
          <w:tcPr>
            <w:tcW w:w="1939" w:type="dxa"/>
            <w:noWrap w:val="0"/>
            <w:vAlign w:val="center"/>
          </w:tcPr>
          <w:p>
            <w:pPr>
              <w:widowControl/>
              <w:spacing w:line="400" w:lineRule="exact"/>
              <w:ind w:left="0" w:leftChars="0" w:right="0" w:rightChars="0" w:firstLine="0" w:firstLineChars="0"/>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区人社局</w:t>
            </w:r>
          </w:p>
        </w:tc>
        <w:tc>
          <w:tcPr>
            <w:tcW w:w="1607" w:type="dxa"/>
            <w:noWrap w:val="0"/>
            <w:vAlign w:val="center"/>
          </w:tcPr>
          <w:p>
            <w:pPr>
              <w:widowControl/>
              <w:spacing w:line="400" w:lineRule="exact"/>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780" w:type="dxa"/>
            <w:noWrap w:val="0"/>
            <w:vAlign w:val="center"/>
          </w:tcPr>
          <w:p>
            <w:pPr>
              <w:widowControl/>
              <w:spacing w:line="400" w:lineRule="exact"/>
              <w:jc w:val="center"/>
              <w:rPr>
                <w:rFonts w:hint="default" w:ascii="Times New Roman" w:hAnsi="Times New Roman" w:eastAsia="仿宋_GB2312" w:cs="Times New Roman"/>
                <w:b w:val="0"/>
                <w:bCs w:val="0"/>
                <w:kern w:val="0"/>
                <w:sz w:val="22"/>
                <w:szCs w:val="20"/>
              </w:rPr>
            </w:pPr>
            <w:r>
              <w:rPr>
                <w:rFonts w:hint="default" w:ascii="Times New Roman" w:hAnsi="Times New Roman" w:eastAsia="仿宋_GB2312" w:cs="Times New Roman"/>
                <w:b w:val="0"/>
                <w:bCs w:val="0"/>
                <w:sz w:val="22"/>
                <w:szCs w:val="20"/>
              </w:rPr>
              <w:t>7</w:t>
            </w:r>
          </w:p>
        </w:tc>
        <w:tc>
          <w:tcPr>
            <w:tcW w:w="1684" w:type="dxa"/>
            <w:vMerge w:val="continue"/>
            <w:noWrap w:val="0"/>
            <w:vAlign w:val="center"/>
          </w:tcPr>
          <w:p>
            <w:pPr>
              <w:widowControl/>
              <w:spacing w:line="400" w:lineRule="exact"/>
              <w:rPr>
                <w:rFonts w:hint="default" w:ascii="Times New Roman" w:hAnsi="Times New Roman" w:eastAsia="仿宋_GB2312" w:cs="Times New Roman"/>
                <w:kern w:val="0"/>
                <w:sz w:val="24"/>
                <w:szCs w:val="20"/>
              </w:rPr>
            </w:pPr>
          </w:p>
        </w:tc>
        <w:tc>
          <w:tcPr>
            <w:tcW w:w="8077" w:type="dxa"/>
            <w:noWrap w:val="0"/>
            <w:vAlign w:val="center"/>
          </w:tcPr>
          <w:p>
            <w:pPr>
              <w:widowControl/>
              <w:spacing w:line="400" w:lineRule="exact"/>
              <w:jc w:val="left"/>
              <w:rPr>
                <w:rFonts w:hint="default" w:ascii="Times New Roman" w:hAnsi="Times New Roman" w:eastAsia="仿宋_GB2312" w:cs="Times New Roman"/>
                <w:kern w:val="0"/>
                <w:sz w:val="24"/>
                <w:szCs w:val="20"/>
              </w:rPr>
            </w:pPr>
            <w:r>
              <w:rPr>
                <w:rFonts w:hint="default" w:ascii="Times New Roman" w:hAnsi="Times New Roman" w:eastAsia="仿宋_GB2312" w:cs="Times New Roman"/>
                <w:sz w:val="24"/>
                <w:szCs w:val="20"/>
              </w:rPr>
              <w:t>5．强化职责范围内的职业卫生、放射卫生、学校卫生、公共场所卫生、饮用水卫生等公共卫生的监督管理。</w:t>
            </w:r>
          </w:p>
        </w:tc>
        <w:tc>
          <w:tcPr>
            <w:tcW w:w="1939" w:type="dxa"/>
            <w:noWrap w:val="0"/>
            <w:vAlign w:val="center"/>
          </w:tcPr>
          <w:p>
            <w:pPr>
              <w:widowControl/>
              <w:spacing w:line="400" w:lineRule="exact"/>
              <w:ind w:left="0" w:leftChars="0" w:right="0" w:rightChars="0" w:firstLine="0" w:firstLineChars="0"/>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sz w:val="24"/>
                <w:szCs w:val="20"/>
              </w:rPr>
              <w:t>区</w:t>
            </w:r>
            <w:r>
              <w:rPr>
                <w:rFonts w:hint="default" w:ascii="Times New Roman" w:hAnsi="Times New Roman" w:eastAsia="仿宋_GB2312" w:cs="Times New Roman"/>
                <w:sz w:val="24"/>
                <w:szCs w:val="20"/>
                <w:lang w:eastAsia="zh-CN"/>
              </w:rPr>
              <w:t>卫生健康</w:t>
            </w:r>
            <w:r>
              <w:rPr>
                <w:rFonts w:hint="default" w:ascii="Times New Roman" w:hAnsi="Times New Roman" w:eastAsia="仿宋_GB2312" w:cs="Times New Roman"/>
                <w:sz w:val="24"/>
                <w:szCs w:val="20"/>
              </w:rPr>
              <w:t>委</w:t>
            </w:r>
          </w:p>
        </w:tc>
        <w:tc>
          <w:tcPr>
            <w:tcW w:w="1607" w:type="dxa"/>
            <w:noWrap w:val="0"/>
            <w:vAlign w:val="center"/>
          </w:tcPr>
          <w:p>
            <w:pPr>
              <w:widowControl/>
              <w:spacing w:line="400" w:lineRule="exac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sz w:val="24"/>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780" w:type="dxa"/>
            <w:noWrap w:val="0"/>
            <w:vAlign w:val="center"/>
          </w:tcPr>
          <w:p>
            <w:pPr>
              <w:widowControl/>
              <w:spacing w:line="400" w:lineRule="exact"/>
              <w:jc w:val="center"/>
              <w:rPr>
                <w:rFonts w:hint="default" w:ascii="Times New Roman" w:hAnsi="Times New Roman" w:eastAsia="仿宋_GB2312" w:cs="Times New Roman"/>
                <w:b w:val="0"/>
                <w:bCs w:val="0"/>
                <w:sz w:val="22"/>
                <w:szCs w:val="20"/>
              </w:rPr>
            </w:pPr>
            <w:r>
              <w:rPr>
                <w:rFonts w:hint="default" w:ascii="Times New Roman" w:hAnsi="Times New Roman" w:eastAsia="仿宋_GB2312" w:cs="Times New Roman"/>
                <w:b w:val="0"/>
                <w:bCs w:val="0"/>
                <w:sz w:val="22"/>
                <w:szCs w:val="20"/>
              </w:rPr>
              <w:t>8</w:t>
            </w:r>
          </w:p>
        </w:tc>
        <w:tc>
          <w:tcPr>
            <w:tcW w:w="1684" w:type="dxa"/>
            <w:vMerge w:val="continue"/>
            <w:noWrap w:val="0"/>
            <w:vAlign w:val="center"/>
          </w:tcPr>
          <w:p>
            <w:pPr>
              <w:widowControl/>
              <w:spacing w:line="400" w:lineRule="exact"/>
              <w:rPr>
                <w:rFonts w:hint="default" w:ascii="Times New Roman" w:hAnsi="Times New Roman" w:eastAsia="仿宋_GB2312" w:cs="Times New Roman"/>
                <w:kern w:val="0"/>
                <w:sz w:val="24"/>
                <w:szCs w:val="20"/>
              </w:rPr>
            </w:pPr>
          </w:p>
        </w:tc>
        <w:tc>
          <w:tcPr>
            <w:tcW w:w="8077" w:type="dxa"/>
            <w:noWrap w:val="0"/>
            <w:vAlign w:val="center"/>
          </w:tcPr>
          <w:p>
            <w:pPr>
              <w:widowControl/>
              <w:spacing w:line="400" w:lineRule="exact"/>
              <w:jc w:val="left"/>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6．加强重大生态环境问题的统筹协调和监督管理；加强环境污染防治、核与辐射安全、生态环境准入的监督管理；强化生态环境监督执法。</w:t>
            </w:r>
          </w:p>
        </w:tc>
        <w:tc>
          <w:tcPr>
            <w:tcW w:w="1939" w:type="dxa"/>
            <w:noWrap w:val="0"/>
            <w:vAlign w:val="center"/>
          </w:tcPr>
          <w:p>
            <w:pPr>
              <w:widowControl/>
              <w:spacing w:line="400" w:lineRule="exact"/>
              <w:ind w:left="0" w:leftChars="0" w:right="0" w:rightChars="0" w:firstLine="0" w:firstLineChars="0"/>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区生态环境局</w:t>
            </w:r>
          </w:p>
        </w:tc>
        <w:tc>
          <w:tcPr>
            <w:tcW w:w="1607" w:type="dxa"/>
            <w:noWrap w:val="0"/>
            <w:vAlign w:val="center"/>
          </w:tcPr>
          <w:p>
            <w:pPr>
              <w:widowControl/>
              <w:spacing w:line="400" w:lineRule="exact"/>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780" w:type="dxa"/>
            <w:noWrap w:val="0"/>
            <w:vAlign w:val="center"/>
          </w:tcPr>
          <w:p>
            <w:pPr>
              <w:widowControl/>
              <w:spacing w:line="400" w:lineRule="exact"/>
              <w:jc w:val="center"/>
              <w:rPr>
                <w:rFonts w:hint="default" w:ascii="Times New Roman" w:hAnsi="Times New Roman" w:eastAsia="仿宋_GB2312" w:cs="Times New Roman"/>
                <w:b w:val="0"/>
                <w:bCs w:val="0"/>
                <w:sz w:val="22"/>
                <w:szCs w:val="20"/>
              </w:rPr>
            </w:pPr>
            <w:r>
              <w:rPr>
                <w:rFonts w:hint="default" w:ascii="Times New Roman" w:hAnsi="Times New Roman" w:eastAsia="仿宋_GB2312" w:cs="Times New Roman"/>
                <w:b w:val="0"/>
                <w:bCs w:val="0"/>
                <w:sz w:val="22"/>
                <w:szCs w:val="20"/>
              </w:rPr>
              <w:t>9</w:t>
            </w:r>
          </w:p>
        </w:tc>
        <w:tc>
          <w:tcPr>
            <w:tcW w:w="1684" w:type="dxa"/>
            <w:vMerge w:val="continue"/>
            <w:noWrap w:val="0"/>
            <w:vAlign w:val="center"/>
          </w:tcPr>
          <w:p>
            <w:pPr>
              <w:widowControl/>
              <w:spacing w:line="400" w:lineRule="exact"/>
              <w:rPr>
                <w:rFonts w:hint="default" w:ascii="Times New Roman" w:hAnsi="Times New Roman" w:eastAsia="仿宋_GB2312" w:cs="Times New Roman"/>
                <w:kern w:val="0"/>
                <w:sz w:val="24"/>
                <w:szCs w:val="20"/>
              </w:rPr>
            </w:pPr>
          </w:p>
        </w:tc>
        <w:tc>
          <w:tcPr>
            <w:tcW w:w="8077" w:type="dxa"/>
            <w:noWrap w:val="0"/>
            <w:vAlign w:val="center"/>
          </w:tcPr>
          <w:p>
            <w:pPr>
              <w:widowControl/>
              <w:spacing w:line="400" w:lineRule="exact"/>
              <w:jc w:val="left"/>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7．加强公路工程试验检测机构进行监督检查；强化公路行业监督管理；强化道路运输及相关业务经营场所、客货集散地检查。</w:t>
            </w:r>
          </w:p>
        </w:tc>
        <w:tc>
          <w:tcPr>
            <w:tcW w:w="1939" w:type="dxa"/>
            <w:noWrap w:val="0"/>
            <w:vAlign w:val="center"/>
          </w:tcPr>
          <w:p>
            <w:pPr>
              <w:widowControl/>
              <w:spacing w:line="400" w:lineRule="exact"/>
              <w:ind w:left="0" w:leftChars="0" w:right="0" w:rightChars="0" w:firstLine="0" w:firstLineChars="0"/>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区交通局</w:t>
            </w:r>
          </w:p>
        </w:tc>
        <w:tc>
          <w:tcPr>
            <w:tcW w:w="1607" w:type="dxa"/>
            <w:noWrap w:val="0"/>
            <w:vAlign w:val="center"/>
          </w:tcPr>
          <w:p>
            <w:pPr>
              <w:widowControl/>
              <w:spacing w:line="400" w:lineRule="exact"/>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780" w:type="dxa"/>
            <w:noWrap w:val="0"/>
            <w:vAlign w:val="center"/>
          </w:tcPr>
          <w:p>
            <w:pPr>
              <w:widowControl/>
              <w:spacing w:line="400" w:lineRule="exact"/>
              <w:jc w:val="center"/>
              <w:rPr>
                <w:rFonts w:hint="default" w:ascii="Times New Roman" w:hAnsi="Times New Roman" w:eastAsia="仿宋_GB2312" w:cs="Times New Roman"/>
                <w:b w:val="0"/>
                <w:bCs w:val="0"/>
                <w:kern w:val="0"/>
                <w:sz w:val="22"/>
                <w:szCs w:val="20"/>
              </w:rPr>
            </w:pPr>
            <w:r>
              <w:rPr>
                <w:rFonts w:hint="default" w:ascii="Times New Roman" w:hAnsi="Times New Roman" w:eastAsia="仿宋_GB2312" w:cs="Times New Roman"/>
                <w:b w:val="0"/>
                <w:bCs w:val="0"/>
                <w:sz w:val="22"/>
                <w:szCs w:val="20"/>
              </w:rPr>
              <w:t>10</w:t>
            </w:r>
          </w:p>
        </w:tc>
        <w:tc>
          <w:tcPr>
            <w:tcW w:w="1684" w:type="dxa"/>
            <w:vMerge w:val="continue"/>
            <w:noWrap w:val="0"/>
            <w:vAlign w:val="center"/>
          </w:tcPr>
          <w:p>
            <w:pPr>
              <w:widowControl/>
              <w:spacing w:line="400" w:lineRule="exact"/>
              <w:rPr>
                <w:rFonts w:hint="default" w:ascii="Times New Roman" w:hAnsi="Times New Roman" w:eastAsia="仿宋_GB2312" w:cs="Times New Roman"/>
                <w:kern w:val="0"/>
                <w:sz w:val="24"/>
                <w:szCs w:val="20"/>
              </w:rPr>
            </w:pPr>
          </w:p>
        </w:tc>
        <w:tc>
          <w:tcPr>
            <w:tcW w:w="8077" w:type="dxa"/>
            <w:noWrap w:val="0"/>
            <w:vAlign w:val="center"/>
          </w:tcPr>
          <w:p>
            <w:pPr>
              <w:widowControl/>
              <w:spacing w:line="400" w:lineRule="exact"/>
              <w:jc w:val="left"/>
              <w:rPr>
                <w:rFonts w:hint="default" w:ascii="Times New Roman" w:hAnsi="Times New Roman" w:eastAsia="仿宋_GB2312" w:cs="Times New Roman"/>
                <w:kern w:val="0"/>
                <w:sz w:val="24"/>
                <w:szCs w:val="20"/>
              </w:rPr>
            </w:pPr>
            <w:r>
              <w:rPr>
                <w:rFonts w:hint="default" w:ascii="Times New Roman" w:hAnsi="Times New Roman" w:eastAsia="仿宋_GB2312" w:cs="Times New Roman"/>
                <w:sz w:val="24"/>
                <w:szCs w:val="20"/>
              </w:rPr>
              <w:t>8．加强文化、旅游市场综合执法工作，强化区文化、旅游、广播电视、文物领域安全生产监督管理。</w:t>
            </w:r>
          </w:p>
        </w:tc>
        <w:tc>
          <w:tcPr>
            <w:tcW w:w="1939" w:type="dxa"/>
            <w:noWrap w:val="0"/>
            <w:vAlign w:val="center"/>
          </w:tcPr>
          <w:p>
            <w:pPr>
              <w:widowControl/>
              <w:spacing w:line="400" w:lineRule="exact"/>
              <w:ind w:left="0" w:leftChars="0" w:right="0" w:rightChars="0" w:firstLine="0" w:firstLineChars="0"/>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sz w:val="24"/>
                <w:szCs w:val="20"/>
              </w:rPr>
              <w:t>区</w:t>
            </w:r>
            <w:r>
              <w:rPr>
                <w:rFonts w:hint="default" w:ascii="Times New Roman" w:hAnsi="Times New Roman" w:eastAsia="仿宋_GB2312" w:cs="Times New Roman"/>
                <w:sz w:val="24"/>
                <w:szCs w:val="20"/>
                <w:lang w:eastAsia="zh-CN"/>
              </w:rPr>
              <w:t>文化和旅游</w:t>
            </w:r>
            <w:r>
              <w:rPr>
                <w:rFonts w:hint="default" w:ascii="Times New Roman" w:hAnsi="Times New Roman" w:eastAsia="仿宋_GB2312" w:cs="Times New Roman"/>
                <w:sz w:val="24"/>
                <w:szCs w:val="20"/>
              </w:rPr>
              <w:t>局</w:t>
            </w:r>
          </w:p>
        </w:tc>
        <w:tc>
          <w:tcPr>
            <w:tcW w:w="1607" w:type="dxa"/>
            <w:noWrap w:val="0"/>
            <w:vAlign w:val="center"/>
          </w:tcPr>
          <w:p>
            <w:pPr>
              <w:widowControl/>
              <w:spacing w:line="400" w:lineRule="exac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sz w:val="24"/>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6" w:hRule="atLeast"/>
        </w:trPr>
        <w:tc>
          <w:tcPr>
            <w:tcW w:w="780" w:type="dxa"/>
            <w:noWrap w:val="0"/>
            <w:vAlign w:val="center"/>
          </w:tcPr>
          <w:p>
            <w:pPr>
              <w:spacing w:line="400" w:lineRule="exact"/>
              <w:jc w:val="center"/>
              <w:rPr>
                <w:rFonts w:hint="default" w:ascii="Times New Roman" w:hAnsi="Times New Roman" w:eastAsia="仿宋_GB2312" w:cs="Times New Roman"/>
                <w:b w:val="0"/>
                <w:bCs w:val="0"/>
                <w:sz w:val="22"/>
                <w:szCs w:val="20"/>
              </w:rPr>
            </w:pPr>
            <w:r>
              <w:rPr>
                <w:rFonts w:hint="default" w:ascii="Times New Roman" w:hAnsi="Times New Roman" w:eastAsia="仿宋_GB2312" w:cs="Times New Roman"/>
                <w:b w:val="0"/>
                <w:bCs w:val="0"/>
                <w:sz w:val="22"/>
                <w:szCs w:val="20"/>
              </w:rPr>
              <w:t>11</w:t>
            </w:r>
          </w:p>
        </w:tc>
        <w:tc>
          <w:tcPr>
            <w:tcW w:w="1684" w:type="dxa"/>
            <w:vMerge w:val="continue"/>
            <w:noWrap w:val="0"/>
            <w:vAlign w:val="center"/>
          </w:tcPr>
          <w:p>
            <w:pPr>
              <w:spacing w:line="400" w:lineRule="exact"/>
              <w:rPr>
                <w:rFonts w:hint="default" w:ascii="Times New Roman" w:hAnsi="Times New Roman" w:eastAsia="仿宋_GB2312" w:cs="Times New Roman"/>
                <w:b/>
                <w:sz w:val="24"/>
                <w:szCs w:val="20"/>
              </w:rPr>
            </w:pPr>
          </w:p>
        </w:tc>
        <w:tc>
          <w:tcPr>
            <w:tcW w:w="8077" w:type="dxa"/>
            <w:noWrap w:val="0"/>
            <w:vAlign w:val="center"/>
          </w:tcPr>
          <w:p>
            <w:pPr>
              <w:spacing w:line="400" w:lineRule="exact"/>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9．对安全生产工作实施综合监管，协调、指导、督促各乡镇街园区、行业领域监管部门落实安全生产工作职责。依法监督检查危险化学品、烟花爆竹、非煤矿山（含地质勘探）、冶金、有色、建材、机械、轻工、纺织、烟草、商贸等生产经营单位新建、改建、扩建工程项目的安全设施与主体工程同时设计、同时施工、同时投产使用情况。</w:t>
            </w:r>
          </w:p>
        </w:tc>
        <w:tc>
          <w:tcPr>
            <w:tcW w:w="1939" w:type="dxa"/>
            <w:noWrap w:val="0"/>
            <w:vAlign w:val="center"/>
          </w:tcPr>
          <w:p>
            <w:pPr>
              <w:spacing w:line="400" w:lineRule="exact"/>
              <w:ind w:left="0" w:leftChars="0" w:right="0" w:rightChars="0" w:firstLine="0" w:firstLineChars="0"/>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区应急局</w:t>
            </w:r>
          </w:p>
        </w:tc>
        <w:tc>
          <w:tcPr>
            <w:tcW w:w="1607" w:type="dxa"/>
            <w:noWrap w:val="0"/>
            <w:vAlign w:val="center"/>
          </w:tcPr>
          <w:p>
            <w:pPr>
              <w:spacing w:line="400" w:lineRule="exact"/>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780" w:type="dxa"/>
            <w:noWrap w:val="0"/>
            <w:vAlign w:val="center"/>
          </w:tcPr>
          <w:p>
            <w:pPr>
              <w:widowControl/>
              <w:spacing w:line="400" w:lineRule="exact"/>
              <w:jc w:val="center"/>
              <w:rPr>
                <w:rFonts w:hint="default" w:ascii="Times New Roman" w:hAnsi="Times New Roman" w:eastAsia="仿宋_GB2312" w:cs="Times New Roman"/>
                <w:b w:val="0"/>
                <w:bCs w:val="0"/>
                <w:sz w:val="22"/>
                <w:szCs w:val="20"/>
              </w:rPr>
            </w:pPr>
            <w:r>
              <w:rPr>
                <w:rFonts w:hint="default" w:ascii="Times New Roman" w:hAnsi="Times New Roman" w:eastAsia="仿宋_GB2312" w:cs="Times New Roman"/>
                <w:b w:val="0"/>
                <w:bCs w:val="0"/>
                <w:sz w:val="22"/>
                <w:szCs w:val="20"/>
              </w:rPr>
              <w:t>12</w:t>
            </w:r>
          </w:p>
        </w:tc>
        <w:tc>
          <w:tcPr>
            <w:tcW w:w="1684" w:type="dxa"/>
            <w:vMerge w:val="restart"/>
            <w:noWrap w:val="0"/>
            <w:vAlign w:val="center"/>
          </w:tcPr>
          <w:p>
            <w:pPr>
              <w:spacing w:line="400" w:lineRule="exact"/>
              <w:rPr>
                <w:rFonts w:hint="default" w:ascii="Times New Roman" w:hAnsi="Times New Roman" w:eastAsia="仿宋_GB2312" w:cs="Times New Roman"/>
                <w:b/>
                <w:sz w:val="24"/>
                <w:szCs w:val="20"/>
              </w:rPr>
            </w:pPr>
            <w:r>
              <w:rPr>
                <w:rFonts w:hint="default" w:ascii="Times New Roman" w:hAnsi="Times New Roman" w:eastAsia="仿宋_GB2312" w:cs="Times New Roman"/>
                <w:sz w:val="24"/>
                <w:szCs w:val="20"/>
              </w:rPr>
              <w:t>三、履行部门监管职责，规范日常监管</w:t>
            </w:r>
          </w:p>
        </w:tc>
        <w:tc>
          <w:tcPr>
            <w:tcW w:w="8077" w:type="dxa"/>
            <w:noWrap w:val="0"/>
            <w:vAlign w:val="center"/>
          </w:tcPr>
          <w:p>
            <w:pPr>
              <w:widowControl/>
              <w:spacing w:line="400" w:lineRule="exact"/>
              <w:jc w:val="left"/>
              <w:rPr>
                <w:rFonts w:hint="default" w:ascii="Times New Roman" w:hAnsi="Times New Roman" w:eastAsia="仿宋_GB2312" w:cs="Times New Roman"/>
                <w:kern w:val="0"/>
                <w:sz w:val="24"/>
                <w:szCs w:val="20"/>
              </w:rPr>
            </w:pPr>
            <w:r>
              <w:rPr>
                <w:rFonts w:hint="default" w:ascii="Times New Roman" w:hAnsi="Times New Roman" w:eastAsia="仿宋_GB2312" w:cs="Times New Roman"/>
                <w:sz w:val="24"/>
                <w:szCs w:val="20"/>
              </w:rPr>
              <w:t>10．加强水利工程质量和安全监督管理。</w:t>
            </w:r>
          </w:p>
        </w:tc>
        <w:tc>
          <w:tcPr>
            <w:tcW w:w="1939" w:type="dxa"/>
            <w:noWrap w:val="0"/>
            <w:vAlign w:val="center"/>
          </w:tcPr>
          <w:p>
            <w:pPr>
              <w:widowControl/>
              <w:spacing w:line="400" w:lineRule="exact"/>
              <w:ind w:left="0" w:leftChars="0" w:right="0" w:rightChars="0" w:firstLine="0" w:firstLineChars="0"/>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sz w:val="24"/>
                <w:szCs w:val="20"/>
              </w:rPr>
              <w:t>区水务局</w:t>
            </w:r>
          </w:p>
        </w:tc>
        <w:tc>
          <w:tcPr>
            <w:tcW w:w="1607" w:type="dxa"/>
            <w:noWrap w:val="0"/>
            <w:vAlign w:val="center"/>
          </w:tcPr>
          <w:p>
            <w:pPr>
              <w:widowControl/>
              <w:spacing w:line="400" w:lineRule="exac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sz w:val="24"/>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trPr>
        <w:tc>
          <w:tcPr>
            <w:tcW w:w="780" w:type="dxa"/>
            <w:noWrap w:val="0"/>
            <w:vAlign w:val="center"/>
          </w:tcPr>
          <w:p>
            <w:pPr>
              <w:widowControl/>
              <w:spacing w:line="400" w:lineRule="exact"/>
              <w:jc w:val="center"/>
              <w:rPr>
                <w:rFonts w:hint="default" w:ascii="Times New Roman" w:hAnsi="Times New Roman" w:eastAsia="仿宋_GB2312" w:cs="Times New Roman"/>
                <w:b w:val="0"/>
                <w:bCs w:val="0"/>
                <w:sz w:val="22"/>
                <w:szCs w:val="20"/>
              </w:rPr>
            </w:pPr>
            <w:r>
              <w:rPr>
                <w:rFonts w:hint="default" w:ascii="Times New Roman" w:hAnsi="Times New Roman" w:eastAsia="仿宋_GB2312" w:cs="Times New Roman"/>
                <w:b w:val="0"/>
                <w:bCs w:val="0"/>
                <w:sz w:val="22"/>
                <w:szCs w:val="20"/>
              </w:rPr>
              <w:t>13</w:t>
            </w:r>
          </w:p>
        </w:tc>
        <w:tc>
          <w:tcPr>
            <w:tcW w:w="1684" w:type="dxa"/>
            <w:vMerge w:val="continue"/>
            <w:noWrap w:val="0"/>
            <w:vAlign w:val="center"/>
          </w:tcPr>
          <w:p>
            <w:pPr>
              <w:spacing w:line="400" w:lineRule="exact"/>
              <w:rPr>
                <w:rFonts w:hint="default" w:ascii="Times New Roman" w:hAnsi="Times New Roman" w:eastAsia="仿宋_GB2312" w:cs="Times New Roman"/>
                <w:b/>
                <w:sz w:val="24"/>
                <w:szCs w:val="20"/>
              </w:rPr>
            </w:pPr>
          </w:p>
        </w:tc>
        <w:tc>
          <w:tcPr>
            <w:tcW w:w="8077" w:type="dxa"/>
            <w:noWrap w:val="0"/>
            <w:vAlign w:val="center"/>
          </w:tcPr>
          <w:p>
            <w:pPr>
              <w:widowControl/>
              <w:spacing w:line="400" w:lineRule="exact"/>
              <w:jc w:val="left"/>
              <w:rPr>
                <w:rFonts w:hint="default" w:ascii="Times New Roman" w:hAnsi="Times New Roman" w:eastAsia="仿宋_GB2312" w:cs="Times New Roman"/>
                <w:color w:val="FF0000"/>
                <w:sz w:val="24"/>
                <w:szCs w:val="20"/>
              </w:rPr>
            </w:pPr>
            <w:r>
              <w:rPr>
                <w:rFonts w:hint="default" w:ascii="Times New Roman" w:hAnsi="Times New Roman" w:eastAsia="仿宋_GB2312" w:cs="Times New Roman"/>
                <w:color w:val="auto"/>
                <w:sz w:val="24"/>
                <w:szCs w:val="20"/>
              </w:rPr>
              <w:t>11．对成品油、二手车鉴定评估企业、报废机动车回收拆解流通进行监督管理。</w:t>
            </w:r>
          </w:p>
        </w:tc>
        <w:tc>
          <w:tcPr>
            <w:tcW w:w="1939" w:type="dxa"/>
            <w:noWrap w:val="0"/>
            <w:vAlign w:val="center"/>
          </w:tcPr>
          <w:p>
            <w:pPr>
              <w:widowControl/>
              <w:spacing w:line="400" w:lineRule="exact"/>
              <w:ind w:left="0" w:leftChars="0" w:right="0" w:rightChars="0" w:firstLine="0" w:firstLineChars="0"/>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区商务局</w:t>
            </w:r>
          </w:p>
        </w:tc>
        <w:tc>
          <w:tcPr>
            <w:tcW w:w="1607" w:type="dxa"/>
            <w:noWrap w:val="0"/>
            <w:vAlign w:val="center"/>
          </w:tcPr>
          <w:p>
            <w:pPr>
              <w:widowControl/>
              <w:spacing w:line="400" w:lineRule="exact"/>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780" w:type="dxa"/>
            <w:noWrap w:val="0"/>
            <w:vAlign w:val="center"/>
          </w:tcPr>
          <w:p>
            <w:pPr>
              <w:widowControl/>
              <w:spacing w:line="400" w:lineRule="exact"/>
              <w:jc w:val="center"/>
              <w:rPr>
                <w:rFonts w:hint="default" w:ascii="Times New Roman" w:hAnsi="Times New Roman" w:eastAsia="仿宋_GB2312" w:cs="Times New Roman"/>
                <w:b w:val="0"/>
                <w:bCs w:val="0"/>
                <w:kern w:val="0"/>
                <w:sz w:val="22"/>
                <w:szCs w:val="20"/>
              </w:rPr>
            </w:pPr>
            <w:r>
              <w:rPr>
                <w:rFonts w:hint="default" w:ascii="Times New Roman" w:hAnsi="Times New Roman" w:eastAsia="仿宋_GB2312" w:cs="Times New Roman"/>
                <w:b w:val="0"/>
                <w:bCs w:val="0"/>
                <w:sz w:val="22"/>
                <w:szCs w:val="20"/>
              </w:rPr>
              <w:t>14</w:t>
            </w:r>
          </w:p>
        </w:tc>
        <w:tc>
          <w:tcPr>
            <w:tcW w:w="1684" w:type="dxa"/>
            <w:vMerge w:val="continue"/>
            <w:noWrap w:val="0"/>
            <w:vAlign w:val="center"/>
          </w:tcPr>
          <w:p>
            <w:pPr>
              <w:widowControl/>
              <w:spacing w:line="400" w:lineRule="exact"/>
              <w:rPr>
                <w:rFonts w:hint="default" w:ascii="Times New Roman" w:hAnsi="Times New Roman" w:eastAsia="仿宋_GB2312" w:cs="Times New Roman"/>
                <w:kern w:val="0"/>
                <w:sz w:val="24"/>
                <w:szCs w:val="20"/>
              </w:rPr>
            </w:pPr>
          </w:p>
        </w:tc>
        <w:tc>
          <w:tcPr>
            <w:tcW w:w="8077" w:type="dxa"/>
            <w:noWrap w:val="0"/>
            <w:vAlign w:val="center"/>
          </w:tcPr>
          <w:p>
            <w:pPr>
              <w:widowControl/>
              <w:spacing w:line="400" w:lineRule="exact"/>
              <w:jc w:val="left"/>
              <w:rPr>
                <w:rFonts w:hint="default" w:ascii="Times New Roman" w:hAnsi="Times New Roman" w:eastAsia="仿宋_GB2312" w:cs="Times New Roman"/>
                <w:kern w:val="0"/>
                <w:sz w:val="24"/>
                <w:szCs w:val="20"/>
              </w:rPr>
            </w:pPr>
            <w:r>
              <w:rPr>
                <w:rFonts w:hint="default" w:ascii="Times New Roman" w:hAnsi="Times New Roman" w:eastAsia="仿宋_GB2312" w:cs="Times New Roman"/>
                <w:sz w:val="24"/>
                <w:szCs w:val="20"/>
              </w:rPr>
              <w:t>12．加强民办学校的筹设、设立、变更、延续与终止的许可事项事中事后监管工作。</w:t>
            </w:r>
          </w:p>
        </w:tc>
        <w:tc>
          <w:tcPr>
            <w:tcW w:w="1939" w:type="dxa"/>
            <w:noWrap w:val="0"/>
            <w:vAlign w:val="center"/>
          </w:tcPr>
          <w:p>
            <w:pPr>
              <w:widowControl/>
              <w:spacing w:line="400" w:lineRule="exact"/>
              <w:ind w:left="0" w:leftChars="0" w:right="0" w:rightChars="0" w:firstLine="0" w:firstLineChars="0"/>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sz w:val="24"/>
                <w:szCs w:val="20"/>
              </w:rPr>
              <w:t>区教育局</w:t>
            </w:r>
          </w:p>
        </w:tc>
        <w:tc>
          <w:tcPr>
            <w:tcW w:w="1607" w:type="dxa"/>
            <w:noWrap w:val="0"/>
            <w:vAlign w:val="center"/>
          </w:tcPr>
          <w:p>
            <w:pPr>
              <w:widowControl/>
              <w:spacing w:line="400" w:lineRule="exac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sz w:val="24"/>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780" w:type="dxa"/>
            <w:noWrap w:val="0"/>
            <w:vAlign w:val="center"/>
          </w:tcPr>
          <w:p>
            <w:pPr>
              <w:widowControl/>
              <w:spacing w:line="400" w:lineRule="exact"/>
              <w:jc w:val="center"/>
              <w:rPr>
                <w:rFonts w:hint="default" w:ascii="Times New Roman" w:hAnsi="Times New Roman" w:eastAsia="仿宋_GB2312" w:cs="Times New Roman"/>
                <w:b w:val="0"/>
                <w:bCs w:val="0"/>
                <w:sz w:val="22"/>
                <w:szCs w:val="20"/>
              </w:rPr>
            </w:pPr>
            <w:r>
              <w:rPr>
                <w:rFonts w:hint="default" w:ascii="Times New Roman" w:hAnsi="Times New Roman" w:eastAsia="仿宋_GB2312" w:cs="Times New Roman"/>
                <w:b w:val="0"/>
                <w:bCs w:val="0"/>
                <w:sz w:val="22"/>
                <w:szCs w:val="20"/>
              </w:rPr>
              <w:t>15</w:t>
            </w:r>
          </w:p>
        </w:tc>
        <w:tc>
          <w:tcPr>
            <w:tcW w:w="1684" w:type="dxa"/>
            <w:vMerge w:val="continue"/>
            <w:noWrap w:val="0"/>
            <w:vAlign w:val="center"/>
          </w:tcPr>
          <w:p>
            <w:pPr>
              <w:widowControl/>
              <w:spacing w:line="400" w:lineRule="exact"/>
              <w:rPr>
                <w:rFonts w:hint="default" w:ascii="Times New Roman" w:hAnsi="Times New Roman" w:eastAsia="仿宋_GB2312" w:cs="Times New Roman"/>
                <w:kern w:val="0"/>
                <w:sz w:val="24"/>
                <w:szCs w:val="20"/>
              </w:rPr>
            </w:pPr>
          </w:p>
        </w:tc>
        <w:tc>
          <w:tcPr>
            <w:tcW w:w="8077" w:type="dxa"/>
            <w:noWrap w:val="0"/>
            <w:vAlign w:val="center"/>
          </w:tcPr>
          <w:p>
            <w:pPr>
              <w:widowControl/>
              <w:spacing w:line="400" w:lineRule="exact"/>
              <w:jc w:val="left"/>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13．加强市容环境、园林绿化、市政管理违法占道行为及露天焚烧违法行为的监管处罚。</w:t>
            </w:r>
          </w:p>
        </w:tc>
        <w:tc>
          <w:tcPr>
            <w:tcW w:w="1939" w:type="dxa"/>
            <w:noWrap w:val="0"/>
            <w:vAlign w:val="center"/>
          </w:tcPr>
          <w:p>
            <w:pPr>
              <w:widowControl/>
              <w:spacing w:line="400" w:lineRule="exact"/>
              <w:ind w:left="0" w:leftChars="0" w:right="0" w:rightChars="0" w:firstLine="0" w:firstLineChars="0"/>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区</w:t>
            </w:r>
            <w:r>
              <w:rPr>
                <w:rFonts w:hint="default" w:ascii="Times New Roman" w:hAnsi="Times New Roman" w:eastAsia="仿宋_GB2312" w:cs="Times New Roman"/>
                <w:sz w:val="24"/>
                <w:szCs w:val="20"/>
                <w:lang w:eastAsia="zh-CN"/>
              </w:rPr>
              <w:t>城市管理</w:t>
            </w:r>
            <w:r>
              <w:rPr>
                <w:rFonts w:hint="default" w:ascii="Times New Roman" w:hAnsi="Times New Roman" w:eastAsia="仿宋_GB2312" w:cs="Times New Roman"/>
                <w:sz w:val="24"/>
                <w:szCs w:val="20"/>
              </w:rPr>
              <w:t>委</w:t>
            </w:r>
          </w:p>
        </w:tc>
        <w:tc>
          <w:tcPr>
            <w:tcW w:w="1607" w:type="dxa"/>
            <w:noWrap w:val="0"/>
            <w:vAlign w:val="center"/>
          </w:tcPr>
          <w:p>
            <w:pPr>
              <w:widowControl/>
              <w:spacing w:line="400" w:lineRule="exact"/>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7" w:hRule="atLeast"/>
        </w:trPr>
        <w:tc>
          <w:tcPr>
            <w:tcW w:w="780" w:type="dxa"/>
            <w:noWrap w:val="0"/>
            <w:vAlign w:val="center"/>
          </w:tcPr>
          <w:p>
            <w:pPr>
              <w:widowControl/>
              <w:spacing w:line="400" w:lineRule="exact"/>
              <w:jc w:val="center"/>
              <w:rPr>
                <w:rFonts w:hint="default" w:ascii="Times New Roman" w:hAnsi="Times New Roman" w:eastAsia="仿宋_GB2312" w:cs="Times New Roman"/>
                <w:b w:val="0"/>
                <w:bCs w:val="0"/>
                <w:kern w:val="0"/>
                <w:sz w:val="22"/>
                <w:szCs w:val="20"/>
              </w:rPr>
            </w:pPr>
            <w:r>
              <w:rPr>
                <w:rFonts w:hint="default" w:ascii="Times New Roman" w:hAnsi="Times New Roman" w:eastAsia="仿宋_GB2312" w:cs="Times New Roman"/>
                <w:b w:val="0"/>
                <w:bCs w:val="0"/>
                <w:sz w:val="22"/>
                <w:szCs w:val="20"/>
              </w:rPr>
              <w:t>16</w:t>
            </w:r>
          </w:p>
        </w:tc>
        <w:tc>
          <w:tcPr>
            <w:tcW w:w="1684" w:type="dxa"/>
            <w:vMerge w:val="continue"/>
            <w:noWrap w:val="0"/>
            <w:vAlign w:val="center"/>
          </w:tcPr>
          <w:p>
            <w:pPr>
              <w:widowControl/>
              <w:spacing w:line="400" w:lineRule="exact"/>
              <w:rPr>
                <w:rFonts w:hint="default" w:ascii="Times New Roman" w:hAnsi="Times New Roman" w:eastAsia="仿宋_GB2312" w:cs="Times New Roman"/>
                <w:kern w:val="0"/>
                <w:sz w:val="24"/>
                <w:szCs w:val="20"/>
              </w:rPr>
            </w:pPr>
          </w:p>
        </w:tc>
        <w:tc>
          <w:tcPr>
            <w:tcW w:w="8077" w:type="dxa"/>
            <w:noWrap w:val="0"/>
            <w:vAlign w:val="center"/>
          </w:tcPr>
          <w:p>
            <w:pPr>
              <w:widowControl/>
              <w:spacing w:line="400" w:lineRule="exact"/>
              <w:jc w:val="left"/>
              <w:rPr>
                <w:rFonts w:hint="default" w:ascii="Times New Roman" w:hAnsi="Times New Roman" w:eastAsia="仿宋_GB2312" w:cs="Times New Roman"/>
                <w:kern w:val="0"/>
                <w:sz w:val="24"/>
                <w:szCs w:val="20"/>
              </w:rPr>
            </w:pPr>
            <w:r>
              <w:rPr>
                <w:rFonts w:hint="default" w:ascii="Times New Roman" w:hAnsi="Times New Roman" w:eastAsia="仿宋_GB2312" w:cs="Times New Roman"/>
                <w:sz w:val="24"/>
                <w:szCs w:val="20"/>
              </w:rPr>
              <w:t>14．强化工业产品生产许可管理和食品相关产品质量安全监督管理工作，组织实施产品质量监督抽查。加强对质量认证和检验检测机构监管。开展自愿性认证和强制性产品认证监督检查，对列入目录内的产品未经认证，擅自出厂、销售违法行为进行查处。</w:t>
            </w:r>
          </w:p>
        </w:tc>
        <w:tc>
          <w:tcPr>
            <w:tcW w:w="1939" w:type="dxa"/>
            <w:noWrap w:val="0"/>
            <w:vAlign w:val="center"/>
          </w:tcPr>
          <w:p>
            <w:pPr>
              <w:widowControl/>
              <w:spacing w:line="400" w:lineRule="exact"/>
              <w:ind w:left="0" w:leftChars="0" w:right="0" w:rightChars="0" w:firstLine="0" w:firstLineChars="0"/>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sz w:val="24"/>
                <w:szCs w:val="20"/>
              </w:rPr>
              <w:t>区市场监管局</w:t>
            </w:r>
          </w:p>
        </w:tc>
        <w:tc>
          <w:tcPr>
            <w:tcW w:w="1607" w:type="dxa"/>
            <w:noWrap w:val="0"/>
            <w:vAlign w:val="center"/>
          </w:tcPr>
          <w:p>
            <w:pPr>
              <w:widowControl/>
              <w:spacing w:line="400" w:lineRule="exac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sz w:val="24"/>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trPr>
        <w:tc>
          <w:tcPr>
            <w:tcW w:w="780" w:type="dxa"/>
            <w:noWrap w:val="0"/>
            <w:vAlign w:val="center"/>
          </w:tcPr>
          <w:p>
            <w:pPr>
              <w:widowControl/>
              <w:spacing w:line="400" w:lineRule="exact"/>
              <w:jc w:val="center"/>
              <w:rPr>
                <w:rFonts w:hint="default" w:ascii="Times New Roman" w:hAnsi="Times New Roman" w:eastAsia="仿宋_GB2312" w:cs="Times New Roman"/>
                <w:b w:val="0"/>
                <w:bCs w:val="0"/>
                <w:sz w:val="22"/>
                <w:szCs w:val="20"/>
              </w:rPr>
            </w:pPr>
            <w:r>
              <w:rPr>
                <w:rFonts w:hint="default" w:ascii="Times New Roman" w:hAnsi="Times New Roman" w:eastAsia="仿宋_GB2312" w:cs="Times New Roman"/>
                <w:b w:val="0"/>
                <w:bCs w:val="0"/>
                <w:sz w:val="22"/>
                <w:szCs w:val="20"/>
              </w:rPr>
              <w:t>17</w:t>
            </w:r>
          </w:p>
        </w:tc>
        <w:tc>
          <w:tcPr>
            <w:tcW w:w="1684" w:type="dxa"/>
            <w:vMerge w:val="restart"/>
            <w:noWrap w:val="0"/>
            <w:vAlign w:val="center"/>
          </w:tcPr>
          <w:p>
            <w:pPr>
              <w:spacing w:line="400" w:lineRule="exact"/>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三、履行部门监管职责，规范日常监管</w:t>
            </w:r>
          </w:p>
        </w:tc>
        <w:tc>
          <w:tcPr>
            <w:tcW w:w="8077" w:type="dxa"/>
            <w:noWrap w:val="0"/>
            <w:vAlign w:val="center"/>
          </w:tcPr>
          <w:p>
            <w:pPr>
              <w:widowControl/>
              <w:spacing w:line="400" w:lineRule="exact"/>
              <w:jc w:val="left"/>
              <w:rPr>
                <w:rFonts w:hint="default" w:ascii="Times New Roman" w:hAnsi="Times New Roman" w:eastAsia="仿宋_GB2312" w:cs="Times New Roman"/>
                <w:kern w:val="0"/>
                <w:sz w:val="24"/>
                <w:szCs w:val="20"/>
              </w:rPr>
            </w:pPr>
            <w:r>
              <w:rPr>
                <w:rFonts w:hint="default" w:ascii="Times New Roman" w:hAnsi="Times New Roman" w:eastAsia="仿宋_GB2312" w:cs="Times New Roman"/>
                <w:sz w:val="24"/>
                <w:szCs w:val="20"/>
              </w:rPr>
              <w:t>15．加强知识产权领域监管。强化商标、专利监督管理工作。强化知识产权维权援助和纠纷调处。查处商标违法行为。协调配合查处专利违法行为。</w:t>
            </w:r>
          </w:p>
        </w:tc>
        <w:tc>
          <w:tcPr>
            <w:tcW w:w="1939" w:type="dxa"/>
            <w:noWrap w:val="0"/>
            <w:vAlign w:val="center"/>
          </w:tcPr>
          <w:p>
            <w:pPr>
              <w:widowControl/>
              <w:spacing w:line="400" w:lineRule="exact"/>
              <w:ind w:left="0" w:leftChars="0" w:right="0" w:rightChars="0" w:firstLine="0" w:firstLineChars="0"/>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sz w:val="24"/>
                <w:szCs w:val="20"/>
              </w:rPr>
              <w:t>区市场监管局</w:t>
            </w:r>
          </w:p>
        </w:tc>
        <w:tc>
          <w:tcPr>
            <w:tcW w:w="1607" w:type="dxa"/>
            <w:noWrap w:val="0"/>
            <w:vAlign w:val="center"/>
          </w:tcPr>
          <w:p>
            <w:pPr>
              <w:widowControl/>
              <w:spacing w:line="400" w:lineRule="exac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sz w:val="24"/>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780" w:type="dxa"/>
            <w:noWrap w:val="0"/>
            <w:vAlign w:val="center"/>
          </w:tcPr>
          <w:p>
            <w:pPr>
              <w:widowControl/>
              <w:spacing w:line="400" w:lineRule="exact"/>
              <w:jc w:val="center"/>
              <w:rPr>
                <w:rFonts w:hint="default" w:ascii="Times New Roman" w:hAnsi="Times New Roman" w:eastAsia="仿宋_GB2312" w:cs="Times New Roman"/>
                <w:b w:val="0"/>
                <w:bCs w:val="0"/>
                <w:kern w:val="0"/>
                <w:sz w:val="22"/>
                <w:szCs w:val="20"/>
              </w:rPr>
            </w:pPr>
            <w:r>
              <w:rPr>
                <w:rFonts w:hint="default" w:ascii="Times New Roman" w:hAnsi="Times New Roman" w:eastAsia="仿宋_GB2312" w:cs="Times New Roman"/>
                <w:b w:val="0"/>
                <w:bCs w:val="0"/>
                <w:sz w:val="22"/>
                <w:szCs w:val="20"/>
              </w:rPr>
              <w:t>18</w:t>
            </w:r>
          </w:p>
        </w:tc>
        <w:tc>
          <w:tcPr>
            <w:tcW w:w="1684" w:type="dxa"/>
            <w:vMerge w:val="continue"/>
            <w:noWrap w:val="0"/>
            <w:vAlign w:val="center"/>
          </w:tcPr>
          <w:p>
            <w:pPr>
              <w:spacing w:line="400" w:lineRule="exact"/>
              <w:rPr>
                <w:rFonts w:hint="default" w:ascii="Times New Roman" w:hAnsi="Times New Roman" w:eastAsia="仿宋_GB2312" w:cs="Times New Roman"/>
                <w:sz w:val="24"/>
                <w:szCs w:val="20"/>
              </w:rPr>
            </w:pPr>
          </w:p>
        </w:tc>
        <w:tc>
          <w:tcPr>
            <w:tcW w:w="8077" w:type="dxa"/>
            <w:noWrap w:val="0"/>
            <w:vAlign w:val="center"/>
          </w:tcPr>
          <w:p>
            <w:pPr>
              <w:widowControl/>
              <w:spacing w:line="400" w:lineRule="exact"/>
              <w:jc w:val="left"/>
              <w:rPr>
                <w:rFonts w:hint="default" w:ascii="Times New Roman" w:hAnsi="Times New Roman" w:eastAsia="仿宋_GB2312" w:cs="Times New Roman"/>
                <w:kern w:val="0"/>
                <w:sz w:val="24"/>
                <w:szCs w:val="20"/>
              </w:rPr>
            </w:pPr>
            <w:r>
              <w:rPr>
                <w:rFonts w:hint="default" w:ascii="Times New Roman" w:hAnsi="Times New Roman" w:eastAsia="仿宋_GB2312" w:cs="Times New Roman"/>
                <w:sz w:val="24"/>
                <w:szCs w:val="20"/>
              </w:rPr>
              <w:t>16．加强对经营高危险性体育项目单位进行监督管理。</w:t>
            </w:r>
          </w:p>
        </w:tc>
        <w:tc>
          <w:tcPr>
            <w:tcW w:w="1939" w:type="dxa"/>
            <w:noWrap w:val="0"/>
            <w:vAlign w:val="center"/>
          </w:tcPr>
          <w:p>
            <w:pPr>
              <w:widowControl/>
              <w:spacing w:line="400" w:lineRule="exact"/>
              <w:ind w:left="0" w:leftChars="0" w:right="0" w:rightChars="0" w:firstLine="0" w:firstLineChars="0"/>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sz w:val="24"/>
                <w:szCs w:val="20"/>
              </w:rPr>
              <w:t>区体育局</w:t>
            </w:r>
          </w:p>
        </w:tc>
        <w:tc>
          <w:tcPr>
            <w:tcW w:w="1607" w:type="dxa"/>
            <w:noWrap w:val="0"/>
            <w:vAlign w:val="center"/>
          </w:tcPr>
          <w:p>
            <w:pPr>
              <w:widowControl/>
              <w:spacing w:line="400" w:lineRule="exac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sz w:val="24"/>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9" w:hRule="atLeast"/>
        </w:trPr>
        <w:tc>
          <w:tcPr>
            <w:tcW w:w="780" w:type="dxa"/>
            <w:noWrap w:val="0"/>
            <w:vAlign w:val="center"/>
          </w:tcPr>
          <w:p>
            <w:pPr>
              <w:widowControl/>
              <w:spacing w:line="400" w:lineRule="exact"/>
              <w:jc w:val="center"/>
              <w:rPr>
                <w:rFonts w:hint="default" w:ascii="Times New Roman" w:hAnsi="Times New Roman" w:eastAsia="仿宋_GB2312" w:cs="Times New Roman"/>
                <w:b w:val="0"/>
                <w:bCs w:val="0"/>
                <w:kern w:val="0"/>
                <w:sz w:val="22"/>
                <w:szCs w:val="20"/>
              </w:rPr>
            </w:pPr>
            <w:r>
              <w:rPr>
                <w:rFonts w:hint="default" w:ascii="Times New Roman" w:hAnsi="Times New Roman" w:eastAsia="仿宋_GB2312" w:cs="Times New Roman"/>
                <w:b w:val="0"/>
                <w:bCs w:val="0"/>
                <w:sz w:val="22"/>
                <w:szCs w:val="20"/>
              </w:rPr>
              <w:t>19</w:t>
            </w:r>
          </w:p>
        </w:tc>
        <w:tc>
          <w:tcPr>
            <w:tcW w:w="1684" w:type="dxa"/>
            <w:vMerge w:val="continue"/>
            <w:noWrap w:val="0"/>
            <w:vAlign w:val="center"/>
          </w:tcPr>
          <w:p>
            <w:pPr>
              <w:widowControl/>
              <w:spacing w:line="400" w:lineRule="exact"/>
              <w:rPr>
                <w:rFonts w:hint="default" w:ascii="Times New Roman" w:hAnsi="Times New Roman" w:eastAsia="仿宋_GB2312" w:cs="Times New Roman"/>
                <w:kern w:val="0"/>
                <w:sz w:val="24"/>
                <w:szCs w:val="20"/>
              </w:rPr>
            </w:pPr>
          </w:p>
        </w:tc>
        <w:tc>
          <w:tcPr>
            <w:tcW w:w="8077" w:type="dxa"/>
            <w:noWrap w:val="0"/>
            <w:vAlign w:val="center"/>
          </w:tcPr>
          <w:p>
            <w:pPr>
              <w:widowControl/>
              <w:spacing w:line="400" w:lineRule="exact"/>
              <w:jc w:val="left"/>
              <w:rPr>
                <w:rFonts w:hint="default" w:ascii="Times New Roman" w:hAnsi="Times New Roman" w:eastAsia="仿宋_GB2312" w:cs="Times New Roman"/>
                <w:kern w:val="0"/>
                <w:sz w:val="24"/>
                <w:szCs w:val="20"/>
              </w:rPr>
            </w:pPr>
            <w:r>
              <w:rPr>
                <w:rFonts w:hint="default" w:ascii="Times New Roman" w:hAnsi="Times New Roman" w:eastAsia="仿宋_GB2312" w:cs="Times New Roman"/>
                <w:sz w:val="24"/>
                <w:szCs w:val="20"/>
              </w:rPr>
              <w:t>17．加强林业领域监管。负责林木采伐和建设项目使用林地行政许可事项事中事后监管，依法对区域内涉林案件和陆生野生动植物案件进行查处。</w:t>
            </w:r>
          </w:p>
        </w:tc>
        <w:tc>
          <w:tcPr>
            <w:tcW w:w="1939" w:type="dxa"/>
            <w:noWrap w:val="0"/>
            <w:vAlign w:val="center"/>
          </w:tcPr>
          <w:p>
            <w:pPr>
              <w:widowControl/>
              <w:spacing w:line="400" w:lineRule="exact"/>
              <w:ind w:left="0" w:leftChars="0" w:right="0" w:rightChars="0" w:firstLine="0" w:firstLineChars="0"/>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sz w:val="24"/>
                <w:szCs w:val="20"/>
              </w:rPr>
              <w:t>区林业局</w:t>
            </w:r>
          </w:p>
        </w:tc>
        <w:tc>
          <w:tcPr>
            <w:tcW w:w="1607" w:type="dxa"/>
            <w:noWrap w:val="0"/>
            <w:vAlign w:val="center"/>
          </w:tcPr>
          <w:p>
            <w:pPr>
              <w:widowControl/>
              <w:spacing w:line="400" w:lineRule="exac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sz w:val="24"/>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780" w:type="dxa"/>
            <w:noWrap w:val="0"/>
            <w:vAlign w:val="center"/>
          </w:tcPr>
          <w:p>
            <w:pPr>
              <w:widowControl/>
              <w:spacing w:line="400" w:lineRule="exact"/>
              <w:jc w:val="center"/>
              <w:rPr>
                <w:rFonts w:hint="default" w:ascii="Times New Roman" w:hAnsi="Times New Roman" w:eastAsia="仿宋_GB2312" w:cs="Times New Roman"/>
                <w:b w:val="0"/>
                <w:bCs w:val="0"/>
                <w:sz w:val="24"/>
                <w:szCs w:val="20"/>
              </w:rPr>
            </w:pPr>
            <w:r>
              <w:rPr>
                <w:rFonts w:hint="default" w:ascii="Times New Roman" w:hAnsi="Times New Roman" w:eastAsia="仿宋_GB2312" w:cs="Times New Roman"/>
                <w:b w:val="0"/>
                <w:bCs w:val="0"/>
                <w:sz w:val="24"/>
                <w:szCs w:val="20"/>
              </w:rPr>
              <w:t>20</w:t>
            </w:r>
          </w:p>
        </w:tc>
        <w:tc>
          <w:tcPr>
            <w:tcW w:w="1684" w:type="dxa"/>
            <w:vMerge w:val="continue"/>
            <w:noWrap w:val="0"/>
            <w:vAlign w:val="center"/>
          </w:tcPr>
          <w:p>
            <w:pPr>
              <w:widowControl/>
              <w:spacing w:line="400" w:lineRule="exact"/>
              <w:rPr>
                <w:rFonts w:hint="default" w:ascii="Times New Roman" w:hAnsi="Times New Roman" w:eastAsia="仿宋_GB2312" w:cs="Times New Roman"/>
                <w:sz w:val="24"/>
                <w:szCs w:val="20"/>
              </w:rPr>
            </w:pPr>
          </w:p>
        </w:tc>
        <w:tc>
          <w:tcPr>
            <w:tcW w:w="8077" w:type="dxa"/>
            <w:noWrap w:val="0"/>
            <w:vAlign w:val="center"/>
          </w:tcPr>
          <w:p>
            <w:pPr>
              <w:widowControl/>
              <w:spacing w:line="380" w:lineRule="exact"/>
              <w:jc w:val="left"/>
              <w:rPr>
                <w:rFonts w:hint="default" w:ascii="Times New Roman" w:hAnsi="Times New Roman" w:eastAsia="仿宋_GB2312" w:cs="Times New Roman"/>
                <w:kern w:val="0"/>
                <w:sz w:val="24"/>
                <w:szCs w:val="20"/>
              </w:rPr>
            </w:pPr>
            <w:r>
              <w:rPr>
                <w:rFonts w:hint="default" w:ascii="Times New Roman" w:hAnsi="Times New Roman" w:eastAsia="仿宋_GB2312" w:cs="Times New Roman"/>
                <w:sz w:val="24"/>
                <w:szCs w:val="20"/>
              </w:rPr>
              <w:t>18．严厉打击虚假违法广告，重点对食品、药品、医疗器械、保健食品等虚假广告等违法行为进行查处。</w:t>
            </w:r>
          </w:p>
        </w:tc>
        <w:tc>
          <w:tcPr>
            <w:tcW w:w="1939" w:type="dxa"/>
            <w:noWrap w:val="0"/>
            <w:vAlign w:val="center"/>
          </w:tcPr>
          <w:p>
            <w:pPr>
              <w:widowControl/>
              <w:spacing w:line="380" w:lineRule="exact"/>
              <w:ind w:left="0" w:leftChars="0" w:right="0" w:rightChars="0" w:firstLine="0" w:firstLineChars="0"/>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sz w:val="24"/>
                <w:szCs w:val="20"/>
              </w:rPr>
              <w:t>区市场监管局</w:t>
            </w:r>
          </w:p>
        </w:tc>
        <w:tc>
          <w:tcPr>
            <w:tcW w:w="1607" w:type="dxa"/>
            <w:noWrap w:val="0"/>
            <w:vAlign w:val="center"/>
          </w:tcPr>
          <w:p>
            <w:pPr>
              <w:widowControl/>
              <w:spacing w:line="380" w:lineRule="exac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sz w:val="24"/>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80" w:type="dxa"/>
            <w:noWrap w:val="0"/>
            <w:vAlign w:val="center"/>
          </w:tcPr>
          <w:p>
            <w:pPr>
              <w:spacing w:line="400" w:lineRule="exact"/>
              <w:jc w:val="center"/>
              <w:rPr>
                <w:rFonts w:hint="default" w:ascii="Times New Roman" w:hAnsi="Times New Roman" w:eastAsia="仿宋_GB2312" w:cs="Times New Roman"/>
                <w:b w:val="0"/>
                <w:bCs w:val="0"/>
                <w:sz w:val="22"/>
                <w:szCs w:val="20"/>
              </w:rPr>
            </w:pPr>
            <w:r>
              <w:rPr>
                <w:rFonts w:hint="default" w:ascii="Times New Roman" w:hAnsi="Times New Roman" w:eastAsia="仿宋_GB2312" w:cs="Times New Roman"/>
                <w:b w:val="0"/>
                <w:bCs w:val="0"/>
                <w:sz w:val="22"/>
                <w:szCs w:val="20"/>
              </w:rPr>
              <w:t>21</w:t>
            </w:r>
          </w:p>
        </w:tc>
        <w:tc>
          <w:tcPr>
            <w:tcW w:w="1684" w:type="dxa"/>
            <w:vMerge w:val="continue"/>
            <w:noWrap w:val="0"/>
            <w:vAlign w:val="center"/>
          </w:tcPr>
          <w:p>
            <w:pPr>
              <w:spacing w:line="400" w:lineRule="exact"/>
              <w:rPr>
                <w:rFonts w:hint="default" w:ascii="Times New Roman" w:hAnsi="Times New Roman" w:eastAsia="仿宋_GB2312" w:cs="Times New Roman"/>
                <w:sz w:val="24"/>
                <w:szCs w:val="20"/>
              </w:rPr>
            </w:pPr>
          </w:p>
        </w:tc>
        <w:tc>
          <w:tcPr>
            <w:tcW w:w="8077" w:type="dxa"/>
            <w:noWrap w:val="0"/>
            <w:vAlign w:val="center"/>
          </w:tcPr>
          <w:p>
            <w:pPr>
              <w:spacing w:line="400" w:lineRule="exact"/>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19．强化对养老机构服务质量、安全、运营的监督管理；加强全区社会组织执法监督管理工作。</w:t>
            </w:r>
          </w:p>
        </w:tc>
        <w:tc>
          <w:tcPr>
            <w:tcW w:w="1939" w:type="dxa"/>
            <w:noWrap w:val="0"/>
            <w:vAlign w:val="center"/>
          </w:tcPr>
          <w:p>
            <w:pPr>
              <w:spacing w:line="400" w:lineRule="exact"/>
              <w:ind w:left="0" w:leftChars="0" w:right="0" w:rightChars="0" w:firstLine="0" w:firstLineChars="0"/>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区民政局</w:t>
            </w:r>
          </w:p>
        </w:tc>
        <w:tc>
          <w:tcPr>
            <w:tcW w:w="1607" w:type="dxa"/>
            <w:noWrap w:val="0"/>
            <w:vAlign w:val="center"/>
          </w:tcPr>
          <w:p>
            <w:pPr>
              <w:spacing w:line="400" w:lineRule="exact"/>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780" w:type="dxa"/>
            <w:noWrap w:val="0"/>
            <w:vAlign w:val="center"/>
          </w:tcPr>
          <w:p>
            <w:pPr>
              <w:spacing w:line="400" w:lineRule="exact"/>
              <w:jc w:val="center"/>
              <w:rPr>
                <w:rFonts w:hint="default" w:ascii="Times New Roman" w:hAnsi="Times New Roman" w:eastAsia="仿宋_GB2312" w:cs="Times New Roman"/>
                <w:b w:val="0"/>
                <w:bCs w:val="0"/>
                <w:sz w:val="22"/>
                <w:szCs w:val="20"/>
              </w:rPr>
            </w:pPr>
            <w:r>
              <w:rPr>
                <w:rFonts w:hint="default" w:ascii="Times New Roman" w:hAnsi="Times New Roman" w:eastAsia="仿宋_GB2312" w:cs="Times New Roman"/>
                <w:b w:val="0"/>
                <w:bCs w:val="0"/>
                <w:sz w:val="22"/>
                <w:szCs w:val="20"/>
              </w:rPr>
              <w:t>22</w:t>
            </w:r>
          </w:p>
        </w:tc>
        <w:tc>
          <w:tcPr>
            <w:tcW w:w="1684" w:type="dxa"/>
            <w:vMerge w:val="continue"/>
            <w:noWrap w:val="0"/>
            <w:vAlign w:val="center"/>
          </w:tcPr>
          <w:p>
            <w:pPr>
              <w:spacing w:line="400" w:lineRule="exact"/>
              <w:rPr>
                <w:rFonts w:hint="default" w:ascii="Times New Roman" w:hAnsi="Times New Roman" w:eastAsia="仿宋_GB2312" w:cs="Times New Roman"/>
                <w:sz w:val="24"/>
                <w:szCs w:val="20"/>
              </w:rPr>
            </w:pPr>
          </w:p>
        </w:tc>
        <w:tc>
          <w:tcPr>
            <w:tcW w:w="8077" w:type="dxa"/>
            <w:noWrap w:val="0"/>
            <w:vAlign w:val="center"/>
          </w:tcPr>
          <w:p>
            <w:pPr>
              <w:widowControl/>
              <w:spacing w:line="400" w:lineRule="exact"/>
              <w:jc w:val="left"/>
              <w:rPr>
                <w:rFonts w:hint="default" w:ascii="Times New Roman" w:hAnsi="Times New Roman" w:eastAsia="仿宋_GB2312" w:cs="Times New Roman"/>
                <w:kern w:val="0"/>
                <w:sz w:val="24"/>
                <w:szCs w:val="20"/>
              </w:rPr>
            </w:pPr>
            <w:r>
              <w:rPr>
                <w:rFonts w:hint="default" w:ascii="Times New Roman" w:hAnsi="Times New Roman" w:eastAsia="仿宋_GB2312" w:cs="Times New Roman"/>
                <w:sz w:val="24"/>
                <w:szCs w:val="20"/>
              </w:rPr>
              <w:t>20．加强日常消防监督检查，实施消防行政强制和行政处罚。</w:t>
            </w:r>
          </w:p>
        </w:tc>
        <w:tc>
          <w:tcPr>
            <w:tcW w:w="1939" w:type="dxa"/>
            <w:noWrap w:val="0"/>
            <w:vAlign w:val="center"/>
          </w:tcPr>
          <w:p>
            <w:pPr>
              <w:spacing w:line="400" w:lineRule="exact"/>
              <w:ind w:left="0" w:leftChars="0" w:right="0" w:rightChars="0" w:firstLine="0" w:firstLineChars="0"/>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区消防救援支队</w:t>
            </w:r>
          </w:p>
        </w:tc>
        <w:tc>
          <w:tcPr>
            <w:tcW w:w="1607" w:type="dxa"/>
            <w:noWrap w:val="0"/>
            <w:vAlign w:val="center"/>
          </w:tcPr>
          <w:p>
            <w:pPr>
              <w:spacing w:line="400" w:lineRule="exact"/>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9" w:hRule="atLeast"/>
        </w:trPr>
        <w:tc>
          <w:tcPr>
            <w:tcW w:w="780" w:type="dxa"/>
            <w:noWrap w:val="0"/>
            <w:vAlign w:val="center"/>
          </w:tcPr>
          <w:p>
            <w:pPr>
              <w:spacing w:line="400" w:lineRule="exact"/>
              <w:jc w:val="center"/>
              <w:rPr>
                <w:rFonts w:hint="default" w:ascii="Times New Roman" w:hAnsi="Times New Roman" w:eastAsia="仿宋_GB2312" w:cs="Times New Roman"/>
                <w:b w:val="0"/>
                <w:bCs w:val="0"/>
                <w:sz w:val="22"/>
                <w:szCs w:val="20"/>
              </w:rPr>
            </w:pPr>
            <w:r>
              <w:rPr>
                <w:rFonts w:hint="default" w:ascii="Times New Roman" w:hAnsi="Times New Roman" w:eastAsia="仿宋_GB2312" w:cs="Times New Roman"/>
                <w:b w:val="0"/>
                <w:bCs w:val="0"/>
                <w:sz w:val="22"/>
                <w:szCs w:val="20"/>
              </w:rPr>
              <w:t>23</w:t>
            </w:r>
          </w:p>
        </w:tc>
        <w:tc>
          <w:tcPr>
            <w:tcW w:w="1684" w:type="dxa"/>
            <w:vMerge w:val="restart"/>
            <w:noWrap w:val="0"/>
            <w:vAlign w:val="center"/>
          </w:tcPr>
          <w:p>
            <w:pPr>
              <w:spacing w:line="400" w:lineRule="exact"/>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四、建立重点监管清单制度，强化重点监管</w:t>
            </w:r>
          </w:p>
        </w:tc>
        <w:tc>
          <w:tcPr>
            <w:tcW w:w="8077" w:type="dxa"/>
            <w:noWrap w:val="0"/>
            <w:vAlign w:val="center"/>
          </w:tcPr>
          <w:p>
            <w:pPr>
              <w:spacing w:line="400" w:lineRule="exact"/>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1．强化安全生产监管执法。依法监督管理非煤矿山、危险化学品和烟花爆竹等高危行业的安全生产工作，科学制定年度安全生产监管计划，对安全风险较高的重点企业，依法依规实行全覆盖重点监管，严格落实监管责任。</w:t>
            </w:r>
          </w:p>
        </w:tc>
        <w:tc>
          <w:tcPr>
            <w:tcW w:w="1939" w:type="dxa"/>
            <w:noWrap w:val="0"/>
            <w:vAlign w:val="center"/>
          </w:tcPr>
          <w:p>
            <w:pPr>
              <w:spacing w:line="400" w:lineRule="exact"/>
              <w:ind w:left="0" w:leftChars="0" w:right="0" w:rightChars="0" w:firstLine="0" w:firstLineChars="0"/>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区应急局</w:t>
            </w:r>
          </w:p>
        </w:tc>
        <w:tc>
          <w:tcPr>
            <w:tcW w:w="1607" w:type="dxa"/>
            <w:noWrap w:val="0"/>
            <w:vAlign w:val="center"/>
          </w:tcPr>
          <w:p>
            <w:pPr>
              <w:spacing w:line="400" w:lineRule="exact"/>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1" w:hRule="atLeast"/>
        </w:trPr>
        <w:tc>
          <w:tcPr>
            <w:tcW w:w="780" w:type="dxa"/>
            <w:noWrap w:val="0"/>
            <w:vAlign w:val="center"/>
          </w:tcPr>
          <w:p>
            <w:pPr>
              <w:widowControl/>
              <w:spacing w:line="400" w:lineRule="exact"/>
              <w:jc w:val="center"/>
              <w:rPr>
                <w:rFonts w:hint="default" w:ascii="Times New Roman" w:hAnsi="Times New Roman" w:eastAsia="仿宋_GB2312" w:cs="Times New Roman"/>
                <w:b w:val="0"/>
                <w:bCs w:val="0"/>
                <w:kern w:val="0"/>
                <w:sz w:val="22"/>
                <w:szCs w:val="20"/>
              </w:rPr>
            </w:pPr>
            <w:r>
              <w:rPr>
                <w:rFonts w:hint="default" w:ascii="Times New Roman" w:hAnsi="Times New Roman" w:eastAsia="仿宋_GB2312" w:cs="Times New Roman"/>
                <w:b w:val="0"/>
                <w:bCs w:val="0"/>
                <w:sz w:val="22"/>
                <w:szCs w:val="20"/>
              </w:rPr>
              <w:t>24</w:t>
            </w:r>
          </w:p>
        </w:tc>
        <w:tc>
          <w:tcPr>
            <w:tcW w:w="1684" w:type="dxa"/>
            <w:vMerge w:val="continue"/>
            <w:noWrap w:val="0"/>
            <w:vAlign w:val="center"/>
          </w:tcPr>
          <w:p>
            <w:pPr>
              <w:widowControl/>
              <w:spacing w:line="400" w:lineRule="exact"/>
              <w:rPr>
                <w:rFonts w:hint="default" w:ascii="Times New Roman" w:hAnsi="Times New Roman" w:eastAsia="仿宋_GB2312" w:cs="Times New Roman"/>
                <w:sz w:val="24"/>
                <w:szCs w:val="20"/>
              </w:rPr>
            </w:pPr>
          </w:p>
        </w:tc>
        <w:tc>
          <w:tcPr>
            <w:tcW w:w="8077" w:type="dxa"/>
            <w:noWrap w:val="0"/>
            <w:vAlign w:val="center"/>
          </w:tcPr>
          <w:p>
            <w:pPr>
              <w:widowControl/>
              <w:spacing w:line="400" w:lineRule="exact"/>
              <w:jc w:val="left"/>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2．强化对区级药品零售、化妆品、医疗器械经营和药品、医疗器械使用单位的监督管理工作。</w:t>
            </w:r>
          </w:p>
        </w:tc>
        <w:tc>
          <w:tcPr>
            <w:tcW w:w="1939" w:type="dxa"/>
            <w:noWrap w:val="0"/>
            <w:vAlign w:val="center"/>
          </w:tcPr>
          <w:p>
            <w:pPr>
              <w:widowControl/>
              <w:spacing w:line="400" w:lineRule="exact"/>
              <w:ind w:left="0" w:leftChars="0" w:right="0" w:rightChars="0" w:firstLine="0" w:firstLineChars="0"/>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sz w:val="24"/>
                <w:szCs w:val="20"/>
              </w:rPr>
              <w:t>区市场监管局</w:t>
            </w:r>
          </w:p>
        </w:tc>
        <w:tc>
          <w:tcPr>
            <w:tcW w:w="1607" w:type="dxa"/>
            <w:noWrap w:val="0"/>
            <w:vAlign w:val="center"/>
          </w:tcPr>
          <w:p>
            <w:pPr>
              <w:widowControl/>
              <w:spacing w:line="400" w:lineRule="exac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sz w:val="24"/>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1" w:hRule="atLeast"/>
        </w:trPr>
        <w:tc>
          <w:tcPr>
            <w:tcW w:w="780" w:type="dxa"/>
            <w:noWrap w:val="0"/>
            <w:vAlign w:val="center"/>
          </w:tcPr>
          <w:p>
            <w:pPr>
              <w:widowControl/>
              <w:spacing w:line="400" w:lineRule="exact"/>
              <w:jc w:val="center"/>
              <w:rPr>
                <w:rFonts w:hint="default" w:ascii="Times New Roman" w:hAnsi="Times New Roman" w:eastAsia="仿宋_GB2312" w:cs="Times New Roman"/>
                <w:b w:val="0"/>
                <w:bCs w:val="0"/>
                <w:kern w:val="0"/>
                <w:sz w:val="22"/>
                <w:szCs w:val="20"/>
              </w:rPr>
            </w:pPr>
            <w:r>
              <w:rPr>
                <w:rFonts w:hint="default" w:ascii="Times New Roman" w:hAnsi="Times New Roman" w:eastAsia="仿宋_GB2312" w:cs="Times New Roman"/>
                <w:b w:val="0"/>
                <w:bCs w:val="0"/>
                <w:sz w:val="22"/>
                <w:szCs w:val="20"/>
              </w:rPr>
              <w:t>25</w:t>
            </w:r>
          </w:p>
        </w:tc>
        <w:tc>
          <w:tcPr>
            <w:tcW w:w="1684" w:type="dxa"/>
            <w:vMerge w:val="continue"/>
            <w:noWrap w:val="0"/>
            <w:vAlign w:val="center"/>
          </w:tcPr>
          <w:p>
            <w:pPr>
              <w:widowControl/>
              <w:spacing w:line="400" w:lineRule="exact"/>
              <w:rPr>
                <w:rFonts w:hint="default" w:ascii="Times New Roman" w:hAnsi="Times New Roman" w:eastAsia="仿宋_GB2312" w:cs="Times New Roman"/>
                <w:kern w:val="0"/>
                <w:sz w:val="24"/>
                <w:szCs w:val="20"/>
              </w:rPr>
            </w:pPr>
          </w:p>
        </w:tc>
        <w:tc>
          <w:tcPr>
            <w:tcW w:w="8077" w:type="dxa"/>
            <w:noWrap w:val="0"/>
            <w:vAlign w:val="center"/>
          </w:tcPr>
          <w:p>
            <w:pPr>
              <w:widowControl/>
              <w:spacing w:line="400" w:lineRule="exact"/>
              <w:jc w:val="left"/>
              <w:rPr>
                <w:rFonts w:hint="default" w:ascii="Times New Roman" w:hAnsi="Times New Roman" w:eastAsia="仿宋_GB2312" w:cs="Times New Roman"/>
                <w:kern w:val="0"/>
                <w:sz w:val="24"/>
                <w:szCs w:val="20"/>
              </w:rPr>
            </w:pPr>
            <w:r>
              <w:rPr>
                <w:rFonts w:hint="default" w:ascii="Times New Roman" w:hAnsi="Times New Roman" w:eastAsia="仿宋_GB2312" w:cs="Times New Roman"/>
                <w:sz w:val="24"/>
                <w:szCs w:val="20"/>
              </w:rPr>
              <w:t>3．加强特种设备安全监管。强化对特种设备设计、制造、安装、改造、维修单位和气瓶充装单位的监督管理。组织开展特种设备安全隐患排查和专项整治工作。组织重大活动特种设备安全保障工作。加强特种设备应急管理工作。</w:t>
            </w:r>
          </w:p>
        </w:tc>
        <w:tc>
          <w:tcPr>
            <w:tcW w:w="1939" w:type="dxa"/>
            <w:noWrap w:val="0"/>
            <w:vAlign w:val="center"/>
          </w:tcPr>
          <w:p>
            <w:pPr>
              <w:widowControl/>
              <w:spacing w:line="400" w:lineRule="exact"/>
              <w:ind w:left="0" w:leftChars="0" w:right="0" w:rightChars="0" w:firstLine="0" w:firstLineChars="0"/>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sz w:val="24"/>
                <w:szCs w:val="20"/>
              </w:rPr>
              <w:t>区市场监管局</w:t>
            </w:r>
          </w:p>
        </w:tc>
        <w:tc>
          <w:tcPr>
            <w:tcW w:w="1607" w:type="dxa"/>
            <w:noWrap w:val="0"/>
            <w:vAlign w:val="center"/>
          </w:tcPr>
          <w:p>
            <w:pPr>
              <w:widowControl/>
              <w:spacing w:line="400" w:lineRule="exac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sz w:val="24"/>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3" w:hRule="atLeast"/>
        </w:trPr>
        <w:tc>
          <w:tcPr>
            <w:tcW w:w="780" w:type="dxa"/>
            <w:noWrap w:val="0"/>
            <w:vAlign w:val="center"/>
          </w:tcPr>
          <w:p>
            <w:pPr>
              <w:spacing w:line="400" w:lineRule="exact"/>
              <w:jc w:val="center"/>
              <w:rPr>
                <w:rFonts w:hint="default" w:ascii="Times New Roman" w:hAnsi="Times New Roman" w:eastAsia="仿宋_GB2312" w:cs="Times New Roman"/>
                <w:b w:val="0"/>
                <w:bCs w:val="0"/>
                <w:sz w:val="22"/>
                <w:szCs w:val="20"/>
              </w:rPr>
            </w:pPr>
            <w:r>
              <w:rPr>
                <w:rFonts w:hint="default" w:ascii="Times New Roman" w:hAnsi="Times New Roman" w:eastAsia="仿宋_GB2312" w:cs="Times New Roman"/>
                <w:b w:val="0"/>
                <w:bCs w:val="0"/>
                <w:sz w:val="22"/>
                <w:szCs w:val="20"/>
              </w:rPr>
              <w:t>26</w:t>
            </w:r>
          </w:p>
        </w:tc>
        <w:tc>
          <w:tcPr>
            <w:tcW w:w="1684" w:type="dxa"/>
            <w:vMerge w:val="restart"/>
            <w:noWrap w:val="0"/>
            <w:vAlign w:val="center"/>
          </w:tcPr>
          <w:p>
            <w:pPr>
              <w:widowControl/>
              <w:spacing w:line="400" w:lineRule="exact"/>
              <w:rPr>
                <w:rFonts w:hint="default" w:ascii="Times New Roman" w:hAnsi="Times New Roman" w:eastAsia="仿宋_GB2312" w:cs="Times New Roman"/>
                <w:kern w:val="0"/>
                <w:sz w:val="24"/>
                <w:szCs w:val="20"/>
              </w:rPr>
            </w:pPr>
            <w:r>
              <w:rPr>
                <w:rFonts w:hint="default" w:ascii="Times New Roman" w:hAnsi="Times New Roman" w:eastAsia="仿宋_GB2312" w:cs="Times New Roman"/>
                <w:sz w:val="24"/>
                <w:szCs w:val="20"/>
              </w:rPr>
              <w:t>四、建立重点监管清单制度，强化重点监管</w:t>
            </w:r>
          </w:p>
        </w:tc>
        <w:tc>
          <w:tcPr>
            <w:tcW w:w="8077" w:type="dxa"/>
            <w:noWrap w:val="0"/>
            <w:vAlign w:val="center"/>
          </w:tcPr>
          <w:p>
            <w:pPr>
              <w:spacing w:line="400" w:lineRule="exact"/>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4．加强食品安全监管。切实落实属地监管责任，按照“四个最严”要求加大对食品生产、流通、餐饮服务、特殊食品企业检查力度，形成监管闭环，不断提升食品安全水平。深入开展隐患排查，切实防范系统性、区域性风险。</w:t>
            </w:r>
          </w:p>
        </w:tc>
        <w:tc>
          <w:tcPr>
            <w:tcW w:w="1939" w:type="dxa"/>
            <w:noWrap w:val="0"/>
            <w:vAlign w:val="center"/>
          </w:tcPr>
          <w:p>
            <w:pPr>
              <w:spacing w:line="400" w:lineRule="exact"/>
              <w:ind w:left="0" w:leftChars="0" w:right="0" w:rightChars="0" w:firstLine="0" w:firstLineChars="0"/>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区市场监管局</w:t>
            </w:r>
          </w:p>
        </w:tc>
        <w:tc>
          <w:tcPr>
            <w:tcW w:w="1607" w:type="dxa"/>
            <w:noWrap w:val="0"/>
            <w:vAlign w:val="center"/>
          </w:tcPr>
          <w:p>
            <w:pPr>
              <w:spacing w:line="400" w:lineRule="exact"/>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trPr>
        <w:tc>
          <w:tcPr>
            <w:tcW w:w="780" w:type="dxa"/>
            <w:noWrap w:val="0"/>
            <w:vAlign w:val="center"/>
          </w:tcPr>
          <w:p>
            <w:pPr>
              <w:widowControl/>
              <w:spacing w:line="400" w:lineRule="exact"/>
              <w:jc w:val="center"/>
              <w:rPr>
                <w:rFonts w:hint="default" w:ascii="Times New Roman" w:hAnsi="Times New Roman" w:eastAsia="仿宋_GB2312" w:cs="Times New Roman"/>
                <w:b w:val="0"/>
                <w:bCs w:val="0"/>
                <w:kern w:val="0"/>
                <w:sz w:val="22"/>
                <w:szCs w:val="20"/>
              </w:rPr>
            </w:pPr>
            <w:r>
              <w:rPr>
                <w:rFonts w:hint="default" w:ascii="Times New Roman" w:hAnsi="Times New Roman" w:eastAsia="仿宋_GB2312" w:cs="Times New Roman"/>
                <w:b w:val="0"/>
                <w:bCs w:val="0"/>
                <w:sz w:val="22"/>
                <w:szCs w:val="20"/>
              </w:rPr>
              <w:t>27</w:t>
            </w:r>
          </w:p>
        </w:tc>
        <w:tc>
          <w:tcPr>
            <w:tcW w:w="1684" w:type="dxa"/>
            <w:vMerge w:val="continue"/>
            <w:noWrap w:val="0"/>
            <w:vAlign w:val="center"/>
          </w:tcPr>
          <w:p>
            <w:pPr>
              <w:widowControl/>
              <w:spacing w:line="400" w:lineRule="exact"/>
              <w:rPr>
                <w:rFonts w:hint="default" w:ascii="Times New Roman" w:hAnsi="Times New Roman" w:eastAsia="仿宋_GB2312" w:cs="Times New Roman"/>
                <w:kern w:val="0"/>
                <w:sz w:val="24"/>
                <w:szCs w:val="20"/>
              </w:rPr>
            </w:pPr>
          </w:p>
        </w:tc>
        <w:tc>
          <w:tcPr>
            <w:tcW w:w="8077" w:type="dxa"/>
            <w:noWrap w:val="0"/>
            <w:vAlign w:val="center"/>
          </w:tcPr>
          <w:p>
            <w:pPr>
              <w:widowControl/>
              <w:spacing w:line="400" w:lineRule="exact"/>
              <w:jc w:val="left"/>
              <w:rPr>
                <w:rFonts w:hint="default" w:ascii="Times New Roman" w:hAnsi="Times New Roman" w:eastAsia="仿宋_GB2312" w:cs="Times New Roman"/>
                <w:kern w:val="0"/>
                <w:sz w:val="24"/>
                <w:szCs w:val="20"/>
              </w:rPr>
            </w:pPr>
            <w:r>
              <w:rPr>
                <w:rFonts w:hint="default" w:ascii="Times New Roman" w:hAnsi="Times New Roman" w:eastAsia="仿宋_GB2312" w:cs="Times New Roman"/>
                <w:sz w:val="24"/>
                <w:szCs w:val="20"/>
              </w:rPr>
              <w:t>5．加强地方金融领域监管。根据区域和行业风险特点，探索建立地方金融领域重点监管清单制度，规范重点监管程序，筛选重点监管的经营单位，实行跟踪监管、直接指导。</w:t>
            </w:r>
          </w:p>
        </w:tc>
        <w:tc>
          <w:tcPr>
            <w:tcW w:w="1939" w:type="dxa"/>
            <w:noWrap w:val="0"/>
            <w:vAlign w:val="center"/>
          </w:tcPr>
          <w:p>
            <w:pPr>
              <w:widowControl/>
              <w:spacing w:line="400" w:lineRule="exact"/>
              <w:ind w:left="0" w:leftChars="0" w:right="0" w:rightChars="0" w:firstLine="0" w:firstLineChars="0"/>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sz w:val="24"/>
                <w:szCs w:val="20"/>
              </w:rPr>
              <w:t>区金融局</w:t>
            </w:r>
          </w:p>
        </w:tc>
        <w:tc>
          <w:tcPr>
            <w:tcW w:w="1607" w:type="dxa"/>
            <w:noWrap w:val="0"/>
            <w:vAlign w:val="center"/>
          </w:tcPr>
          <w:p>
            <w:pPr>
              <w:widowControl/>
              <w:spacing w:line="400" w:lineRule="exac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sz w:val="24"/>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5" w:hRule="atLeast"/>
        </w:trPr>
        <w:tc>
          <w:tcPr>
            <w:tcW w:w="780" w:type="dxa"/>
            <w:noWrap w:val="0"/>
            <w:vAlign w:val="center"/>
          </w:tcPr>
          <w:p>
            <w:pPr>
              <w:widowControl/>
              <w:spacing w:line="400" w:lineRule="exact"/>
              <w:jc w:val="center"/>
              <w:rPr>
                <w:rFonts w:hint="default" w:ascii="Times New Roman" w:hAnsi="Times New Roman" w:eastAsia="仿宋_GB2312" w:cs="Times New Roman"/>
                <w:b w:val="0"/>
                <w:bCs w:val="0"/>
                <w:kern w:val="0"/>
                <w:sz w:val="22"/>
                <w:szCs w:val="20"/>
              </w:rPr>
            </w:pPr>
            <w:r>
              <w:rPr>
                <w:rFonts w:hint="default" w:ascii="Times New Roman" w:hAnsi="Times New Roman" w:eastAsia="仿宋_GB2312" w:cs="Times New Roman"/>
                <w:b w:val="0"/>
                <w:bCs w:val="0"/>
                <w:sz w:val="22"/>
                <w:szCs w:val="20"/>
              </w:rPr>
              <w:t>28</w:t>
            </w:r>
          </w:p>
        </w:tc>
        <w:tc>
          <w:tcPr>
            <w:tcW w:w="1684" w:type="dxa"/>
            <w:vMerge w:val="continue"/>
            <w:noWrap w:val="0"/>
            <w:vAlign w:val="center"/>
          </w:tcPr>
          <w:p>
            <w:pPr>
              <w:widowControl/>
              <w:spacing w:line="400" w:lineRule="exact"/>
              <w:rPr>
                <w:rFonts w:hint="default" w:ascii="Times New Roman" w:hAnsi="Times New Roman" w:eastAsia="仿宋_GB2312" w:cs="Times New Roman"/>
                <w:kern w:val="0"/>
                <w:sz w:val="24"/>
                <w:szCs w:val="20"/>
              </w:rPr>
            </w:pPr>
          </w:p>
        </w:tc>
        <w:tc>
          <w:tcPr>
            <w:tcW w:w="8077" w:type="dxa"/>
            <w:noWrap w:val="0"/>
            <w:vAlign w:val="center"/>
          </w:tcPr>
          <w:p>
            <w:pPr>
              <w:widowControl/>
              <w:spacing w:line="380" w:lineRule="exact"/>
              <w:jc w:val="left"/>
              <w:rPr>
                <w:rFonts w:hint="default" w:ascii="Times New Roman" w:hAnsi="Times New Roman" w:eastAsia="仿宋_GB2312" w:cs="Times New Roman"/>
                <w:kern w:val="0"/>
                <w:sz w:val="24"/>
                <w:szCs w:val="20"/>
              </w:rPr>
            </w:pPr>
            <w:r>
              <w:rPr>
                <w:rFonts w:hint="default" w:ascii="Times New Roman" w:hAnsi="Times New Roman" w:eastAsia="仿宋_GB2312" w:cs="Times New Roman"/>
                <w:sz w:val="24"/>
                <w:szCs w:val="20"/>
              </w:rPr>
              <w:t>6．强化剧毒危险化学品道路运输及危爆物品等重点领域监管。对易制毒化学品、剧毒危险化学品道路运输和危爆物品、敏感物品等重点领域实行全主体、全链条的严格监管，坚决防止发生相关安全事故。创新易制毒化学品信息化监管新模式，推动监管平台和企业平台互联互通，逐步实现以网管网、线上线下一体化监管。推行无人机登记备案信息化管理，应用无人机销售备案系统，切实掌握无人机底数及流向。建立健全旅馆业、公章刻制业等特种行业、保安服务与培训、易制毒化学品企业等“双随机、一公开”监管机制。</w:t>
            </w:r>
          </w:p>
        </w:tc>
        <w:tc>
          <w:tcPr>
            <w:tcW w:w="1939" w:type="dxa"/>
            <w:noWrap w:val="0"/>
            <w:vAlign w:val="center"/>
          </w:tcPr>
          <w:p>
            <w:pPr>
              <w:widowControl/>
              <w:spacing w:line="380" w:lineRule="exact"/>
              <w:ind w:left="0" w:leftChars="0" w:right="0" w:rightChars="0" w:firstLine="0" w:firstLineChars="0"/>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sz w:val="24"/>
                <w:szCs w:val="20"/>
              </w:rPr>
              <w:t>公安蓟州分局</w:t>
            </w:r>
          </w:p>
        </w:tc>
        <w:tc>
          <w:tcPr>
            <w:tcW w:w="1607" w:type="dxa"/>
            <w:noWrap w:val="0"/>
            <w:vAlign w:val="center"/>
          </w:tcPr>
          <w:p>
            <w:pPr>
              <w:widowControl/>
              <w:spacing w:line="380" w:lineRule="exac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sz w:val="24"/>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5" w:hRule="atLeast"/>
        </w:trPr>
        <w:tc>
          <w:tcPr>
            <w:tcW w:w="780" w:type="dxa"/>
            <w:noWrap w:val="0"/>
            <w:vAlign w:val="center"/>
          </w:tcPr>
          <w:p>
            <w:pPr>
              <w:spacing w:line="400" w:lineRule="exact"/>
              <w:jc w:val="center"/>
              <w:rPr>
                <w:rFonts w:hint="default" w:ascii="Times New Roman" w:hAnsi="Times New Roman" w:eastAsia="仿宋_GB2312" w:cs="Times New Roman"/>
                <w:b w:val="0"/>
                <w:bCs w:val="0"/>
                <w:sz w:val="22"/>
                <w:szCs w:val="20"/>
              </w:rPr>
            </w:pPr>
            <w:r>
              <w:rPr>
                <w:rFonts w:hint="default" w:ascii="Times New Roman" w:hAnsi="Times New Roman" w:eastAsia="仿宋_GB2312" w:cs="Times New Roman"/>
                <w:b w:val="0"/>
                <w:bCs w:val="0"/>
                <w:sz w:val="22"/>
                <w:szCs w:val="20"/>
              </w:rPr>
              <w:t>29</w:t>
            </w:r>
          </w:p>
        </w:tc>
        <w:tc>
          <w:tcPr>
            <w:tcW w:w="1684" w:type="dxa"/>
            <w:noWrap w:val="0"/>
            <w:vAlign w:val="center"/>
          </w:tcPr>
          <w:p>
            <w:pPr>
              <w:spacing w:line="400" w:lineRule="exact"/>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五、汇聚监管数据，推进“互联网+监管”</w:t>
            </w:r>
          </w:p>
        </w:tc>
        <w:tc>
          <w:tcPr>
            <w:tcW w:w="8077" w:type="dxa"/>
            <w:noWrap w:val="0"/>
            <w:vAlign w:val="center"/>
          </w:tcPr>
          <w:p>
            <w:pP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1.在国家“互联网+监管”系统监管事项目录清单基础上，结合权责清单，依托“互联网+监管”系统梳理汇聚监管事项目录清单及对应的检查实施清单。</w:t>
            </w:r>
          </w:p>
          <w:p>
            <w:pP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2.依托“互联网+监管”系统，及时全面归集履职过程中形成的行政检查、行政处罚、行政强制以及司法判决、违法失信、抽查抽检等信息，实现违法线索互联、监管标准互通、处理结果互认，提高数据归集效率，保障数据完整性、规范性、准确性。</w:t>
            </w:r>
          </w:p>
        </w:tc>
        <w:tc>
          <w:tcPr>
            <w:tcW w:w="1939" w:type="dxa"/>
            <w:noWrap w:val="0"/>
            <w:vAlign w:val="center"/>
          </w:tcPr>
          <w:p>
            <w:pPr>
              <w:spacing w:line="400" w:lineRule="exact"/>
              <w:ind w:left="0" w:leftChars="0" w:right="0" w:rightChars="0" w:firstLine="0" w:firstLineChars="0"/>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区委网信办、区委编</w:t>
            </w:r>
            <w:r>
              <w:rPr>
                <w:rFonts w:hint="default" w:ascii="Times New Roman" w:hAnsi="Times New Roman" w:eastAsia="仿宋_GB2312" w:cs="Times New Roman"/>
                <w:sz w:val="24"/>
                <w:szCs w:val="20"/>
                <w:lang w:eastAsia="zh-CN"/>
              </w:rPr>
              <w:t>办</w:t>
            </w:r>
            <w:r>
              <w:rPr>
                <w:rFonts w:hint="default" w:ascii="Times New Roman" w:hAnsi="Times New Roman" w:eastAsia="仿宋_GB2312" w:cs="Times New Roman"/>
                <w:sz w:val="24"/>
                <w:szCs w:val="20"/>
              </w:rPr>
              <w:t>、区发展改革委、区市场监管局、区司法局等</w:t>
            </w:r>
            <w:r>
              <w:rPr>
                <w:rFonts w:hint="default" w:ascii="Times New Roman" w:hAnsi="Times New Roman" w:eastAsia="仿宋_GB2312" w:cs="Times New Roman"/>
                <w:color w:val="auto"/>
                <w:sz w:val="24"/>
                <w:szCs w:val="20"/>
              </w:rPr>
              <w:t>监管</w:t>
            </w:r>
            <w:r>
              <w:rPr>
                <w:rFonts w:hint="eastAsia" w:eastAsia="仿宋_GB2312" w:cs="Times New Roman"/>
                <w:color w:val="auto"/>
                <w:sz w:val="24"/>
                <w:szCs w:val="20"/>
                <w:lang w:eastAsia="zh-CN"/>
              </w:rPr>
              <w:t>有</w:t>
            </w:r>
            <w:r>
              <w:rPr>
                <w:rFonts w:hint="default" w:ascii="Times New Roman" w:hAnsi="Times New Roman" w:eastAsia="仿宋_GB2312" w:cs="Times New Roman"/>
                <w:sz w:val="24"/>
                <w:szCs w:val="20"/>
              </w:rPr>
              <w:t>关部门</w:t>
            </w:r>
          </w:p>
        </w:tc>
        <w:tc>
          <w:tcPr>
            <w:tcW w:w="1607" w:type="dxa"/>
            <w:noWrap w:val="0"/>
            <w:vAlign w:val="center"/>
          </w:tcPr>
          <w:p>
            <w:pPr>
              <w:spacing w:line="400" w:lineRule="exact"/>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2" w:hRule="atLeast"/>
        </w:trPr>
        <w:tc>
          <w:tcPr>
            <w:tcW w:w="780" w:type="dxa"/>
            <w:noWrap w:val="0"/>
            <w:vAlign w:val="center"/>
          </w:tcPr>
          <w:p>
            <w:pPr>
              <w:spacing w:line="400" w:lineRule="exact"/>
              <w:jc w:val="center"/>
              <w:rPr>
                <w:rFonts w:hint="default" w:ascii="Times New Roman" w:hAnsi="Times New Roman" w:eastAsia="仿宋_GB2312" w:cs="Times New Roman"/>
                <w:b w:val="0"/>
                <w:bCs w:val="0"/>
                <w:sz w:val="22"/>
                <w:szCs w:val="20"/>
              </w:rPr>
            </w:pPr>
            <w:r>
              <w:rPr>
                <w:rFonts w:hint="default" w:ascii="Times New Roman" w:hAnsi="Times New Roman" w:eastAsia="仿宋_GB2312" w:cs="Times New Roman"/>
                <w:b w:val="0"/>
                <w:bCs w:val="0"/>
                <w:sz w:val="22"/>
                <w:szCs w:val="20"/>
              </w:rPr>
              <w:t>30</w:t>
            </w:r>
          </w:p>
        </w:tc>
        <w:tc>
          <w:tcPr>
            <w:tcW w:w="1684" w:type="dxa"/>
            <w:noWrap w:val="0"/>
            <w:vAlign w:val="center"/>
          </w:tcPr>
          <w:p>
            <w:pPr>
              <w:spacing w:line="400" w:lineRule="exact"/>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六、全面实施“双随机、一公开”监管</w:t>
            </w:r>
          </w:p>
        </w:tc>
        <w:tc>
          <w:tcPr>
            <w:tcW w:w="8077" w:type="dxa"/>
            <w:noWrap w:val="0"/>
            <w:vAlign w:val="center"/>
          </w:tcPr>
          <w:p>
            <w:pPr>
              <w:spacing w:line="400" w:lineRule="exact"/>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在实施“双随机、一公开” 监管领域，制定“双随机、一公开”监管的年度专项和部门联合抽查计划，并向社会公示。</w:t>
            </w:r>
          </w:p>
        </w:tc>
        <w:tc>
          <w:tcPr>
            <w:tcW w:w="1939" w:type="dxa"/>
            <w:noWrap w:val="0"/>
            <w:vAlign w:val="center"/>
          </w:tcPr>
          <w:p>
            <w:pPr>
              <w:spacing w:line="400" w:lineRule="exact"/>
              <w:ind w:left="0" w:leftChars="0" w:right="0" w:rightChars="0" w:firstLine="0" w:firstLineChars="0"/>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区市场监管局牵头，</w:t>
            </w:r>
            <w:r>
              <w:rPr>
                <w:rFonts w:hint="eastAsia" w:eastAsia="仿宋_GB2312" w:cs="Times New Roman"/>
                <w:sz w:val="24"/>
                <w:szCs w:val="20"/>
                <w:lang w:eastAsia="zh-CN"/>
              </w:rPr>
              <w:t>有关</w:t>
            </w:r>
            <w:r>
              <w:rPr>
                <w:rFonts w:hint="default" w:ascii="Times New Roman" w:hAnsi="Times New Roman" w:eastAsia="仿宋_GB2312" w:cs="Times New Roman"/>
                <w:sz w:val="24"/>
                <w:szCs w:val="20"/>
              </w:rPr>
              <w:t>部门按职责分工负责</w:t>
            </w:r>
          </w:p>
        </w:tc>
        <w:tc>
          <w:tcPr>
            <w:tcW w:w="1607" w:type="dxa"/>
            <w:noWrap w:val="0"/>
            <w:vAlign w:val="center"/>
          </w:tcPr>
          <w:p>
            <w:pPr>
              <w:spacing w:line="400" w:lineRule="exact"/>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3" w:hRule="atLeast"/>
        </w:trPr>
        <w:tc>
          <w:tcPr>
            <w:tcW w:w="780" w:type="dxa"/>
            <w:noWrap w:val="0"/>
            <w:vAlign w:val="center"/>
          </w:tcPr>
          <w:p>
            <w:pPr>
              <w:spacing w:line="400" w:lineRule="exact"/>
              <w:jc w:val="center"/>
              <w:rPr>
                <w:rFonts w:hint="default" w:ascii="Times New Roman" w:hAnsi="Times New Roman" w:eastAsia="仿宋_GB2312" w:cs="Times New Roman"/>
                <w:b w:val="0"/>
                <w:bCs w:val="0"/>
                <w:sz w:val="22"/>
                <w:szCs w:val="20"/>
              </w:rPr>
            </w:pPr>
            <w:r>
              <w:rPr>
                <w:rFonts w:hint="default" w:ascii="Times New Roman" w:hAnsi="Times New Roman" w:eastAsia="仿宋_GB2312" w:cs="Times New Roman"/>
                <w:b w:val="0"/>
                <w:bCs w:val="0"/>
                <w:sz w:val="22"/>
                <w:szCs w:val="20"/>
              </w:rPr>
              <w:t>31</w:t>
            </w:r>
          </w:p>
        </w:tc>
        <w:tc>
          <w:tcPr>
            <w:tcW w:w="1684" w:type="dxa"/>
            <w:noWrap w:val="0"/>
            <w:vAlign w:val="center"/>
          </w:tcPr>
          <w:p>
            <w:pPr>
              <w:spacing w:line="400" w:lineRule="exact"/>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七、推进信用体系建设，强化信用监管</w:t>
            </w:r>
          </w:p>
        </w:tc>
        <w:tc>
          <w:tcPr>
            <w:tcW w:w="8077" w:type="dxa"/>
            <w:noWrap w:val="0"/>
            <w:vAlign w:val="center"/>
          </w:tcPr>
          <w:p>
            <w:pPr>
              <w:spacing w:line="400" w:lineRule="exact"/>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1．依托信用中国、国家企业信用信息公示系统、天津市市场主体信用信息公示系统，以统一社会信用代码为标识，依法依规建立权威、统一、可查询的市场主体信用记录。在行政许可和行政执法查验中大力推行信用承诺制度，将信用承诺履行情况纳入信用记录。</w:t>
            </w:r>
          </w:p>
          <w:p>
            <w:pPr>
              <w:spacing w:line="400" w:lineRule="exact"/>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2、按照“谁认定、谁发布”原则，实施市场主体信用“红黑名单”制度，依托本市联合奖惩监管系统，落实跨部门联合奖惩机制。开展信用修复工作，引导被处罚企业修复信用信息。</w:t>
            </w:r>
          </w:p>
        </w:tc>
        <w:tc>
          <w:tcPr>
            <w:tcW w:w="1939" w:type="dxa"/>
            <w:noWrap w:val="0"/>
            <w:vAlign w:val="center"/>
          </w:tcPr>
          <w:p>
            <w:pPr>
              <w:spacing w:line="400" w:lineRule="exact"/>
              <w:ind w:left="0" w:leftChars="0" w:right="0" w:rightChars="0" w:firstLine="0" w:firstLineChars="0"/>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区发展改革委、区市场监管局牵头，区政务服务办等各部门按职责分工负责</w:t>
            </w:r>
          </w:p>
        </w:tc>
        <w:tc>
          <w:tcPr>
            <w:tcW w:w="1607" w:type="dxa"/>
            <w:noWrap w:val="0"/>
            <w:vAlign w:val="center"/>
          </w:tcPr>
          <w:p>
            <w:pPr>
              <w:spacing w:line="400" w:lineRule="exact"/>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8" w:hRule="atLeast"/>
        </w:trPr>
        <w:tc>
          <w:tcPr>
            <w:tcW w:w="780" w:type="dxa"/>
            <w:noWrap w:val="0"/>
            <w:vAlign w:val="center"/>
          </w:tcPr>
          <w:p>
            <w:pPr>
              <w:spacing w:line="400" w:lineRule="exact"/>
              <w:jc w:val="center"/>
              <w:rPr>
                <w:rFonts w:hint="default" w:ascii="Times New Roman" w:hAnsi="Times New Roman" w:eastAsia="仿宋_GB2312" w:cs="Times New Roman"/>
                <w:b w:val="0"/>
                <w:bCs w:val="0"/>
                <w:sz w:val="22"/>
                <w:szCs w:val="20"/>
              </w:rPr>
            </w:pPr>
            <w:r>
              <w:rPr>
                <w:rFonts w:hint="default" w:ascii="Times New Roman" w:hAnsi="Times New Roman" w:eastAsia="仿宋_GB2312" w:cs="Times New Roman"/>
                <w:b w:val="0"/>
                <w:bCs w:val="0"/>
                <w:sz w:val="22"/>
                <w:szCs w:val="20"/>
              </w:rPr>
              <w:t>32</w:t>
            </w:r>
          </w:p>
        </w:tc>
        <w:tc>
          <w:tcPr>
            <w:tcW w:w="1684" w:type="dxa"/>
            <w:noWrap w:val="0"/>
            <w:vAlign w:val="center"/>
          </w:tcPr>
          <w:p>
            <w:pPr>
              <w:spacing w:line="400" w:lineRule="exact"/>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八、依法开展案件查办</w:t>
            </w:r>
          </w:p>
        </w:tc>
        <w:tc>
          <w:tcPr>
            <w:tcW w:w="8077" w:type="dxa"/>
            <w:noWrap w:val="0"/>
            <w:vAlign w:val="center"/>
          </w:tcPr>
          <w:p>
            <w:pPr>
              <w:spacing w:line="400" w:lineRule="exact"/>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依职责分工，在监管中对情节轻微、负面影响较小的苗头性问题，在坚持依法行政的同时，主要采取约谈、警告、责令改正等措施，及时予以纠正；对情节和后果严重的，依法责令下架召回、停工停产或撤销吊销相关证照，涉及犯罪的及时移送司法机关处理。做好执法监督工作，加强行政处罚合理性和合法性监督，防止行政处罚畸轻畸重。</w:t>
            </w:r>
          </w:p>
        </w:tc>
        <w:tc>
          <w:tcPr>
            <w:tcW w:w="1939" w:type="dxa"/>
            <w:noWrap w:val="0"/>
            <w:vAlign w:val="center"/>
          </w:tcPr>
          <w:p>
            <w:pPr>
              <w:spacing w:line="400" w:lineRule="exact"/>
              <w:ind w:left="0" w:leftChars="0" w:right="0" w:rightChars="0" w:firstLine="0" w:firstLineChars="0"/>
              <w:jc w:val="center"/>
              <w:rPr>
                <w:rFonts w:hint="eastAsia" w:ascii="Times New Roman" w:hAnsi="Times New Roman" w:eastAsia="仿宋_GB2312" w:cs="Times New Roman"/>
                <w:sz w:val="24"/>
                <w:szCs w:val="20"/>
                <w:lang w:eastAsia="zh-CN"/>
              </w:rPr>
            </w:pPr>
            <w:r>
              <w:rPr>
                <w:rFonts w:hint="default" w:ascii="Times New Roman" w:hAnsi="Times New Roman" w:eastAsia="仿宋_GB2312" w:cs="Times New Roman"/>
                <w:sz w:val="24"/>
                <w:szCs w:val="20"/>
              </w:rPr>
              <w:t>区司法局、</w:t>
            </w:r>
            <w:r>
              <w:rPr>
                <w:rFonts w:hint="eastAsia" w:eastAsia="仿宋_GB2312" w:cs="Times New Roman"/>
                <w:sz w:val="24"/>
                <w:szCs w:val="20"/>
                <w:lang w:eastAsia="zh-CN"/>
              </w:rPr>
              <w:t>有关部门</w:t>
            </w:r>
          </w:p>
        </w:tc>
        <w:tc>
          <w:tcPr>
            <w:tcW w:w="1607" w:type="dxa"/>
            <w:noWrap w:val="0"/>
            <w:vAlign w:val="center"/>
          </w:tcPr>
          <w:p>
            <w:pPr>
              <w:spacing w:line="400" w:lineRule="exact"/>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2" w:hRule="atLeast"/>
        </w:trPr>
        <w:tc>
          <w:tcPr>
            <w:tcW w:w="780" w:type="dxa"/>
            <w:noWrap w:val="0"/>
            <w:vAlign w:val="center"/>
          </w:tcPr>
          <w:p>
            <w:pPr>
              <w:spacing w:line="400" w:lineRule="exact"/>
              <w:jc w:val="center"/>
              <w:rPr>
                <w:rFonts w:hint="default" w:ascii="Times New Roman" w:hAnsi="Times New Roman" w:eastAsia="仿宋_GB2312" w:cs="Times New Roman"/>
                <w:b w:val="0"/>
                <w:bCs w:val="0"/>
                <w:sz w:val="22"/>
                <w:szCs w:val="20"/>
              </w:rPr>
            </w:pPr>
            <w:r>
              <w:rPr>
                <w:rFonts w:hint="default" w:ascii="Times New Roman" w:hAnsi="Times New Roman" w:eastAsia="仿宋_GB2312" w:cs="Times New Roman"/>
                <w:b w:val="0"/>
                <w:bCs w:val="0"/>
                <w:sz w:val="22"/>
                <w:szCs w:val="20"/>
              </w:rPr>
              <w:t>33</w:t>
            </w:r>
          </w:p>
        </w:tc>
        <w:tc>
          <w:tcPr>
            <w:tcW w:w="1684" w:type="dxa"/>
            <w:noWrap w:val="0"/>
            <w:vAlign w:val="center"/>
          </w:tcPr>
          <w:p>
            <w:pPr>
              <w:spacing w:line="400" w:lineRule="exact"/>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九、落实和完善包容审慎监管</w:t>
            </w:r>
          </w:p>
        </w:tc>
        <w:tc>
          <w:tcPr>
            <w:tcW w:w="8077" w:type="dxa"/>
            <w:noWrap w:val="0"/>
            <w:vAlign w:val="center"/>
          </w:tcPr>
          <w:p>
            <w:pPr>
              <w:spacing w:line="400" w:lineRule="exact"/>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对新技术、新产业、新业态、新模式，按照鼓励创新原则，留足发展空间，同时坚守质量和安全底线。对看得准、有发展前景的，引导其健康规范发展；对一时看不准的，设置一定的“观察期”，对出现的问题及时引导或处置；对潜在风险大、可能造成严重不良后果的，及时汇总情况，上报上级主管部门，征求意见予以严格监管；对非法经营的，坚决依法予以查处。推进线上线下一体化监管，统一执法标准和尺度。</w:t>
            </w:r>
          </w:p>
          <w:p>
            <w:pPr>
              <w:spacing w:line="400" w:lineRule="exact"/>
              <w:rPr>
                <w:rFonts w:hint="default" w:ascii="Times New Roman" w:hAnsi="Times New Roman" w:eastAsia="仿宋_GB2312" w:cs="Times New Roman"/>
                <w:sz w:val="24"/>
                <w:szCs w:val="20"/>
              </w:rPr>
            </w:pPr>
          </w:p>
        </w:tc>
        <w:tc>
          <w:tcPr>
            <w:tcW w:w="1939" w:type="dxa"/>
            <w:noWrap w:val="0"/>
            <w:vAlign w:val="center"/>
          </w:tcPr>
          <w:p>
            <w:pPr>
              <w:spacing w:line="400" w:lineRule="exact"/>
              <w:ind w:left="0" w:leftChars="0" w:right="0" w:rightChars="0" w:firstLine="0" w:firstLineChars="0"/>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区发展改革委、区委网信办、区市场监管局、公安蓟州分局</w:t>
            </w:r>
            <w:r>
              <w:rPr>
                <w:rFonts w:hint="eastAsia" w:eastAsia="仿宋_GB2312" w:cs="Times New Roman"/>
                <w:sz w:val="24"/>
                <w:szCs w:val="20"/>
                <w:lang w:eastAsia="zh-CN"/>
              </w:rPr>
              <w:t>等有</w:t>
            </w:r>
            <w:r>
              <w:rPr>
                <w:rFonts w:hint="default" w:ascii="Times New Roman" w:hAnsi="Times New Roman" w:eastAsia="仿宋_GB2312" w:cs="Times New Roman"/>
                <w:sz w:val="24"/>
                <w:szCs w:val="20"/>
              </w:rPr>
              <w:t>关部门</w:t>
            </w:r>
          </w:p>
        </w:tc>
        <w:tc>
          <w:tcPr>
            <w:tcW w:w="1607" w:type="dxa"/>
            <w:noWrap w:val="0"/>
            <w:vAlign w:val="center"/>
          </w:tcPr>
          <w:p>
            <w:pPr>
              <w:spacing w:line="400" w:lineRule="exact"/>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5" w:hRule="atLeast"/>
        </w:trPr>
        <w:tc>
          <w:tcPr>
            <w:tcW w:w="780" w:type="dxa"/>
            <w:noWrap w:val="0"/>
            <w:vAlign w:val="center"/>
          </w:tcPr>
          <w:p>
            <w:pPr>
              <w:spacing w:line="400" w:lineRule="exact"/>
              <w:jc w:val="center"/>
              <w:rPr>
                <w:rFonts w:hint="default" w:ascii="Times New Roman" w:hAnsi="Times New Roman" w:eastAsia="仿宋_GB2312" w:cs="Times New Roman"/>
                <w:b w:val="0"/>
                <w:bCs w:val="0"/>
                <w:sz w:val="22"/>
                <w:szCs w:val="20"/>
              </w:rPr>
            </w:pPr>
            <w:r>
              <w:rPr>
                <w:rFonts w:hint="default" w:ascii="Times New Roman" w:hAnsi="Times New Roman" w:eastAsia="仿宋_GB2312" w:cs="Times New Roman"/>
                <w:b w:val="0"/>
                <w:bCs w:val="0"/>
                <w:sz w:val="22"/>
                <w:szCs w:val="20"/>
              </w:rPr>
              <w:t>34</w:t>
            </w:r>
          </w:p>
        </w:tc>
        <w:tc>
          <w:tcPr>
            <w:tcW w:w="1684" w:type="dxa"/>
            <w:noWrap w:val="0"/>
            <w:vAlign w:val="center"/>
          </w:tcPr>
          <w:p>
            <w:pPr>
              <w:spacing w:line="400" w:lineRule="exact"/>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十、深化综合行政执法改革</w:t>
            </w:r>
          </w:p>
        </w:tc>
        <w:tc>
          <w:tcPr>
            <w:tcW w:w="8077" w:type="dxa"/>
            <w:noWrap w:val="0"/>
            <w:vAlign w:val="center"/>
          </w:tcPr>
          <w:p>
            <w:pPr>
              <w:spacing w:line="400" w:lineRule="exact"/>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深入推进市场监管、生态环境保护、交通运输、农业、文化市场综合行政执法改革，全面整合监管职能，统筹配置行政处罚职能和执法资源，相对集中行政处罚权，整合精简执法队伍，推进严格规范公正文明执法。</w:t>
            </w:r>
          </w:p>
        </w:tc>
        <w:tc>
          <w:tcPr>
            <w:tcW w:w="1939" w:type="dxa"/>
            <w:noWrap w:val="0"/>
            <w:vAlign w:val="center"/>
          </w:tcPr>
          <w:p>
            <w:pPr>
              <w:spacing w:line="400" w:lineRule="exact"/>
              <w:ind w:left="0" w:leftChars="0" w:right="0" w:rightChars="0" w:firstLine="0" w:firstLineChars="0"/>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区司法局</w:t>
            </w:r>
          </w:p>
          <w:p>
            <w:pPr>
              <w:spacing w:line="400" w:lineRule="exact"/>
              <w:ind w:left="0" w:leftChars="0" w:right="0" w:rightChars="0" w:firstLine="0" w:firstLineChars="0"/>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有关部门</w:t>
            </w:r>
          </w:p>
        </w:tc>
        <w:tc>
          <w:tcPr>
            <w:tcW w:w="1607" w:type="dxa"/>
            <w:noWrap w:val="0"/>
            <w:vAlign w:val="center"/>
          </w:tcPr>
          <w:p>
            <w:pPr>
              <w:spacing w:line="400" w:lineRule="exact"/>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780" w:type="dxa"/>
            <w:noWrap w:val="0"/>
            <w:vAlign w:val="center"/>
          </w:tcPr>
          <w:p>
            <w:pPr>
              <w:spacing w:line="400" w:lineRule="exact"/>
              <w:jc w:val="center"/>
              <w:rPr>
                <w:rFonts w:hint="default" w:ascii="Times New Roman" w:hAnsi="Times New Roman" w:eastAsia="仿宋_GB2312" w:cs="Times New Roman"/>
                <w:b w:val="0"/>
                <w:bCs w:val="0"/>
                <w:sz w:val="22"/>
                <w:szCs w:val="20"/>
              </w:rPr>
            </w:pPr>
            <w:r>
              <w:rPr>
                <w:rFonts w:hint="default" w:ascii="Times New Roman" w:hAnsi="Times New Roman" w:eastAsia="仿宋_GB2312" w:cs="Times New Roman"/>
                <w:b w:val="0"/>
                <w:bCs w:val="0"/>
                <w:sz w:val="22"/>
                <w:szCs w:val="20"/>
              </w:rPr>
              <w:t>35</w:t>
            </w:r>
          </w:p>
        </w:tc>
        <w:tc>
          <w:tcPr>
            <w:tcW w:w="1684" w:type="dxa"/>
            <w:vMerge w:val="restart"/>
            <w:noWrap w:val="0"/>
            <w:vAlign w:val="center"/>
          </w:tcPr>
          <w:p>
            <w:pPr>
              <w:spacing w:line="400" w:lineRule="exact"/>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十一、强化市场主体责任</w:t>
            </w:r>
          </w:p>
        </w:tc>
        <w:tc>
          <w:tcPr>
            <w:tcW w:w="8077" w:type="dxa"/>
            <w:noWrap w:val="0"/>
            <w:vAlign w:val="center"/>
          </w:tcPr>
          <w:p>
            <w:pPr>
              <w:spacing w:line="400" w:lineRule="exact"/>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1．建立完善市场主体首负责任制，促使市场主体在安全生产、质量管理、营销宣传、售后服务、诚信纳税等方面加强自我监督、履行法定义务。</w:t>
            </w:r>
          </w:p>
        </w:tc>
        <w:tc>
          <w:tcPr>
            <w:tcW w:w="1939" w:type="dxa"/>
            <w:noWrap w:val="0"/>
            <w:vAlign w:val="center"/>
          </w:tcPr>
          <w:p>
            <w:pPr>
              <w:spacing w:line="400" w:lineRule="exact"/>
              <w:ind w:left="0" w:leftChars="0" w:right="0" w:rightChars="0" w:firstLine="0" w:firstLineChars="0"/>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有关部门</w:t>
            </w:r>
          </w:p>
        </w:tc>
        <w:tc>
          <w:tcPr>
            <w:tcW w:w="1607" w:type="dxa"/>
            <w:noWrap w:val="0"/>
            <w:vAlign w:val="center"/>
          </w:tcPr>
          <w:p>
            <w:pPr>
              <w:spacing w:line="400" w:lineRule="exact"/>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780" w:type="dxa"/>
            <w:noWrap w:val="0"/>
            <w:vAlign w:val="center"/>
          </w:tcPr>
          <w:p>
            <w:pPr>
              <w:spacing w:line="400" w:lineRule="exact"/>
              <w:jc w:val="center"/>
              <w:rPr>
                <w:rFonts w:hint="default" w:ascii="Times New Roman" w:hAnsi="Times New Roman" w:eastAsia="仿宋_GB2312" w:cs="Times New Roman"/>
                <w:b w:val="0"/>
                <w:bCs w:val="0"/>
                <w:sz w:val="22"/>
                <w:szCs w:val="20"/>
              </w:rPr>
            </w:pPr>
            <w:r>
              <w:rPr>
                <w:rFonts w:hint="default" w:ascii="Times New Roman" w:hAnsi="Times New Roman" w:eastAsia="仿宋_GB2312" w:cs="Times New Roman"/>
                <w:b w:val="0"/>
                <w:bCs w:val="0"/>
                <w:sz w:val="22"/>
                <w:szCs w:val="20"/>
              </w:rPr>
              <w:t>36</w:t>
            </w:r>
          </w:p>
        </w:tc>
        <w:tc>
          <w:tcPr>
            <w:tcW w:w="1684" w:type="dxa"/>
            <w:vMerge w:val="continue"/>
            <w:noWrap w:val="0"/>
            <w:vAlign w:val="center"/>
          </w:tcPr>
          <w:p>
            <w:pPr>
              <w:spacing w:line="400" w:lineRule="exact"/>
              <w:rPr>
                <w:rFonts w:hint="default" w:ascii="Times New Roman" w:hAnsi="Times New Roman" w:eastAsia="仿宋_GB2312" w:cs="Times New Roman"/>
                <w:sz w:val="24"/>
                <w:szCs w:val="20"/>
              </w:rPr>
            </w:pPr>
          </w:p>
        </w:tc>
        <w:tc>
          <w:tcPr>
            <w:tcW w:w="8077" w:type="dxa"/>
            <w:noWrap w:val="0"/>
            <w:vAlign w:val="center"/>
          </w:tcPr>
          <w:p>
            <w:pPr>
              <w:spacing w:line="400" w:lineRule="exact"/>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2．强化市场主体年报公示主体责任，加大年报公示工作宣传力度，督促指导市场主体依法按时年报，规范企业信息公示，促进企业诚信自律。</w:t>
            </w:r>
          </w:p>
        </w:tc>
        <w:tc>
          <w:tcPr>
            <w:tcW w:w="1939" w:type="dxa"/>
            <w:noWrap w:val="0"/>
            <w:vAlign w:val="center"/>
          </w:tcPr>
          <w:p>
            <w:pPr>
              <w:spacing w:line="400" w:lineRule="exact"/>
              <w:ind w:left="0" w:leftChars="0" w:right="0" w:rightChars="0" w:firstLine="0" w:firstLineChars="0"/>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区市场监管局</w:t>
            </w:r>
          </w:p>
        </w:tc>
        <w:tc>
          <w:tcPr>
            <w:tcW w:w="1607" w:type="dxa"/>
            <w:noWrap w:val="0"/>
            <w:vAlign w:val="center"/>
          </w:tcPr>
          <w:p>
            <w:pPr>
              <w:spacing w:line="400" w:lineRule="exact"/>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trPr>
        <w:tc>
          <w:tcPr>
            <w:tcW w:w="780" w:type="dxa"/>
            <w:noWrap w:val="0"/>
            <w:vAlign w:val="center"/>
          </w:tcPr>
          <w:p>
            <w:pPr>
              <w:spacing w:line="400" w:lineRule="exact"/>
              <w:jc w:val="center"/>
              <w:rPr>
                <w:rFonts w:hint="default" w:ascii="Times New Roman" w:hAnsi="Times New Roman" w:eastAsia="仿宋_GB2312" w:cs="Times New Roman"/>
                <w:b w:val="0"/>
                <w:bCs w:val="0"/>
                <w:sz w:val="22"/>
                <w:szCs w:val="20"/>
              </w:rPr>
            </w:pPr>
            <w:r>
              <w:rPr>
                <w:rFonts w:hint="default" w:ascii="Times New Roman" w:hAnsi="Times New Roman" w:eastAsia="仿宋_GB2312" w:cs="Times New Roman"/>
                <w:b w:val="0"/>
                <w:bCs w:val="0"/>
                <w:sz w:val="22"/>
                <w:szCs w:val="20"/>
              </w:rPr>
              <w:t>37</w:t>
            </w:r>
          </w:p>
        </w:tc>
        <w:tc>
          <w:tcPr>
            <w:tcW w:w="1684" w:type="dxa"/>
            <w:noWrap w:val="0"/>
            <w:vAlign w:val="center"/>
          </w:tcPr>
          <w:p>
            <w:pPr>
              <w:spacing w:line="400" w:lineRule="exact"/>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十一、强化市场主体责任</w:t>
            </w:r>
          </w:p>
        </w:tc>
        <w:tc>
          <w:tcPr>
            <w:tcW w:w="8077" w:type="dxa"/>
            <w:noWrap w:val="0"/>
            <w:vAlign w:val="center"/>
          </w:tcPr>
          <w:p>
            <w:pPr>
              <w:widowControl/>
              <w:spacing w:line="400" w:lineRule="exact"/>
              <w:jc w:val="left"/>
              <w:rPr>
                <w:rFonts w:hint="default" w:ascii="Times New Roman" w:hAnsi="Times New Roman" w:eastAsia="仿宋_GB2312" w:cs="Times New Roman"/>
                <w:kern w:val="0"/>
                <w:sz w:val="24"/>
                <w:szCs w:val="20"/>
              </w:rPr>
            </w:pPr>
            <w:r>
              <w:rPr>
                <w:rFonts w:hint="default" w:ascii="Times New Roman" w:hAnsi="Times New Roman" w:eastAsia="仿宋_GB2312" w:cs="Times New Roman"/>
                <w:sz w:val="24"/>
                <w:szCs w:val="20"/>
              </w:rPr>
              <w:t>3．加强安全生产政策宣传，推动企业建立内控和风险防范机制，持续推进生产经营单位落实主动报告安全生产风险的制度，进一步完善创建安全生产标准化的激励措施。</w:t>
            </w:r>
          </w:p>
        </w:tc>
        <w:tc>
          <w:tcPr>
            <w:tcW w:w="1939" w:type="dxa"/>
            <w:noWrap w:val="0"/>
            <w:vAlign w:val="center"/>
          </w:tcPr>
          <w:p>
            <w:pPr>
              <w:widowControl/>
              <w:spacing w:line="400" w:lineRule="exact"/>
              <w:ind w:left="0" w:leftChars="0" w:right="0" w:rightChars="0" w:firstLine="0" w:firstLineChars="0"/>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sz w:val="24"/>
                <w:szCs w:val="20"/>
              </w:rPr>
              <w:t>负有安全生产监管职责的部门</w:t>
            </w:r>
          </w:p>
        </w:tc>
        <w:tc>
          <w:tcPr>
            <w:tcW w:w="1607" w:type="dxa"/>
            <w:noWrap w:val="0"/>
            <w:vAlign w:val="center"/>
          </w:tcPr>
          <w:p>
            <w:pPr>
              <w:widowControl/>
              <w:spacing w:line="400" w:lineRule="exac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sz w:val="24"/>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trPr>
        <w:tc>
          <w:tcPr>
            <w:tcW w:w="780" w:type="dxa"/>
            <w:noWrap w:val="0"/>
            <w:vAlign w:val="center"/>
          </w:tcPr>
          <w:p>
            <w:pPr>
              <w:spacing w:line="400" w:lineRule="exact"/>
              <w:jc w:val="center"/>
              <w:rPr>
                <w:rFonts w:hint="default" w:ascii="Times New Roman" w:hAnsi="Times New Roman" w:eastAsia="仿宋_GB2312" w:cs="Times New Roman"/>
                <w:b w:val="0"/>
                <w:bCs w:val="0"/>
                <w:sz w:val="22"/>
                <w:szCs w:val="20"/>
              </w:rPr>
            </w:pPr>
            <w:r>
              <w:rPr>
                <w:rFonts w:hint="default" w:ascii="Times New Roman" w:hAnsi="Times New Roman" w:eastAsia="仿宋_GB2312" w:cs="Times New Roman"/>
                <w:b w:val="0"/>
                <w:bCs w:val="0"/>
                <w:sz w:val="22"/>
                <w:szCs w:val="20"/>
              </w:rPr>
              <w:t>38</w:t>
            </w:r>
          </w:p>
        </w:tc>
        <w:tc>
          <w:tcPr>
            <w:tcW w:w="1684" w:type="dxa"/>
            <w:vMerge w:val="restart"/>
            <w:noWrap w:val="0"/>
            <w:vAlign w:val="center"/>
          </w:tcPr>
          <w:p>
            <w:pPr>
              <w:spacing w:line="400" w:lineRule="exact"/>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十二、发挥社会监督作用</w:t>
            </w:r>
          </w:p>
        </w:tc>
        <w:tc>
          <w:tcPr>
            <w:tcW w:w="8077" w:type="dxa"/>
            <w:noWrap w:val="0"/>
            <w:vAlign w:val="center"/>
          </w:tcPr>
          <w:p>
            <w:pPr>
              <w:spacing w:line="400" w:lineRule="exact"/>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1．认真落实现有的“举报人奖励制度”，规范群众举报受理程序，严格保护举报人信息。结合本单位实际探索建立“吹哨人”、“内部举报人”等制度，规范群众举报受理程序，严格保护举报人信息，对举报严重违法违规行为、重大风险隐患的有功人员予以重奖。</w:t>
            </w:r>
          </w:p>
        </w:tc>
        <w:tc>
          <w:tcPr>
            <w:tcW w:w="1939" w:type="dxa"/>
            <w:noWrap w:val="0"/>
            <w:vAlign w:val="center"/>
          </w:tcPr>
          <w:p>
            <w:pPr>
              <w:spacing w:line="400" w:lineRule="exact"/>
              <w:ind w:left="0" w:leftChars="0" w:right="0" w:rightChars="0" w:firstLine="0" w:firstLineChars="0"/>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有关部门</w:t>
            </w:r>
          </w:p>
        </w:tc>
        <w:tc>
          <w:tcPr>
            <w:tcW w:w="1607" w:type="dxa"/>
            <w:noWrap w:val="0"/>
            <w:vAlign w:val="center"/>
          </w:tcPr>
          <w:p>
            <w:pPr>
              <w:spacing w:line="400" w:lineRule="exact"/>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trPr>
        <w:tc>
          <w:tcPr>
            <w:tcW w:w="780" w:type="dxa"/>
            <w:noWrap w:val="0"/>
            <w:vAlign w:val="center"/>
          </w:tcPr>
          <w:p>
            <w:pPr>
              <w:widowControl/>
              <w:spacing w:line="400" w:lineRule="exact"/>
              <w:jc w:val="center"/>
              <w:rPr>
                <w:rFonts w:hint="default" w:ascii="Times New Roman" w:hAnsi="Times New Roman" w:eastAsia="仿宋_GB2312" w:cs="Times New Roman"/>
                <w:b w:val="0"/>
                <w:bCs w:val="0"/>
                <w:kern w:val="0"/>
                <w:sz w:val="22"/>
                <w:szCs w:val="20"/>
              </w:rPr>
            </w:pPr>
            <w:r>
              <w:rPr>
                <w:rFonts w:hint="default" w:ascii="Times New Roman" w:hAnsi="Times New Roman" w:eastAsia="仿宋_GB2312" w:cs="Times New Roman"/>
                <w:b w:val="0"/>
                <w:bCs w:val="0"/>
                <w:sz w:val="22"/>
                <w:szCs w:val="20"/>
              </w:rPr>
              <w:t>39</w:t>
            </w:r>
          </w:p>
        </w:tc>
        <w:tc>
          <w:tcPr>
            <w:tcW w:w="1684" w:type="dxa"/>
            <w:vMerge w:val="continue"/>
            <w:noWrap w:val="0"/>
            <w:vAlign w:val="center"/>
          </w:tcPr>
          <w:p>
            <w:pPr>
              <w:widowControl/>
              <w:spacing w:line="400" w:lineRule="exact"/>
              <w:rPr>
                <w:rFonts w:hint="default" w:ascii="Times New Roman" w:hAnsi="Times New Roman" w:eastAsia="仿宋_GB2312" w:cs="Times New Roman"/>
                <w:kern w:val="0"/>
                <w:sz w:val="24"/>
                <w:szCs w:val="20"/>
              </w:rPr>
            </w:pPr>
          </w:p>
        </w:tc>
        <w:tc>
          <w:tcPr>
            <w:tcW w:w="8077" w:type="dxa"/>
            <w:noWrap w:val="0"/>
            <w:vAlign w:val="center"/>
          </w:tcPr>
          <w:p>
            <w:pPr>
              <w:widowControl/>
              <w:spacing w:line="400" w:lineRule="exact"/>
              <w:jc w:val="left"/>
              <w:rPr>
                <w:rFonts w:hint="default" w:ascii="Times New Roman" w:hAnsi="Times New Roman" w:eastAsia="仿宋_GB2312" w:cs="Times New Roman"/>
                <w:kern w:val="0"/>
                <w:sz w:val="24"/>
                <w:szCs w:val="20"/>
              </w:rPr>
            </w:pPr>
            <w:r>
              <w:rPr>
                <w:rFonts w:hint="default" w:ascii="Times New Roman" w:hAnsi="Times New Roman" w:eastAsia="仿宋_GB2312" w:cs="Times New Roman"/>
                <w:sz w:val="24"/>
                <w:szCs w:val="20"/>
              </w:rPr>
              <w:t>2．畅通群众监督渠道，方便群众通过电话、现场、电子邮件、信件、互联网等多种渠道进行监督。依托12345政务服务便民热线，整合优化政务服务投诉举报电话功能，力争做到“一号响应”。</w:t>
            </w:r>
          </w:p>
        </w:tc>
        <w:tc>
          <w:tcPr>
            <w:tcW w:w="1939" w:type="dxa"/>
            <w:noWrap w:val="0"/>
            <w:vAlign w:val="center"/>
          </w:tcPr>
          <w:p>
            <w:pPr>
              <w:widowControl/>
              <w:spacing w:line="400" w:lineRule="exact"/>
              <w:ind w:left="0" w:leftChars="0" w:right="0" w:rightChars="0" w:firstLine="0" w:firstLineChars="0"/>
              <w:jc w:val="center"/>
              <w:rPr>
                <w:rFonts w:hint="eastAsia" w:ascii="Times New Roman" w:hAnsi="Times New Roman" w:eastAsia="仿宋_GB2312" w:cs="Times New Roman"/>
                <w:kern w:val="0"/>
                <w:sz w:val="24"/>
                <w:szCs w:val="20"/>
                <w:lang w:eastAsia="zh-CN"/>
              </w:rPr>
            </w:pPr>
            <w:r>
              <w:rPr>
                <w:rFonts w:hint="default" w:ascii="Times New Roman" w:hAnsi="Times New Roman" w:eastAsia="仿宋_GB2312" w:cs="Times New Roman"/>
                <w:sz w:val="24"/>
                <w:szCs w:val="20"/>
              </w:rPr>
              <w:t>区网格中心、</w:t>
            </w:r>
            <w:r>
              <w:rPr>
                <w:rFonts w:hint="eastAsia" w:eastAsia="仿宋_GB2312" w:cs="Times New Roman"/>
                <w:sz w:val="24"/>
                <w:szCs w:val="20"/>
                <w:lang w:eastAsia="zh-CN"/>
              </w:rPr>
              <w:t>有关部门</w:t>
            </w:r>
          </w:p>
        </w:tc>
        <w:tc>
          <w:tcPr>
            <w:tcW w:w="1607" w:type="dxa"/>
            <w:noWrap w:val="0"/>
            <w:vAlign w:val="center"/>
          </w:tcPr>
          <w:p>
            <w:pPr>
              <w:widowControl/>
              <w:spacing w:line="400" w:lineRule="exac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sz w:val="24"/>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trPr>
        <w:tc>
          <w:tcPr>
            <w:tcW w:w="780" w:type="dxa"/>
            <w:noWrap w:val="0"/>
            <w:vAlign w:val="center"/>
          </w:tcPr>
          <w:p>
            <w:pPr>
              <w:widowControl/>
              <w:spacing w:line="400" w:lineRule="exact"/>
              <w:jc w:val="center"/>
              <w:rPr>
                <w:rFonts w:hint="default" w:ascii="Times New Roman" w:hAnsi="Times New Roman" w:eastAsia="仿宋_GB2312" w:cs="Times New Roman"/>
                <w:b w:val="0"/>
                <w:bCs w:val="0"/>
                <w:kern w:val="0"/>
                <w:sz w:val="22"/>
                <w:szCs w:val="20"/>
              </w:rPr>
            </w:pPr>
            <w:r>
              <w:rPr>
                <w:rFonts w:hint="default" w:ascii="Times New Roman" w:hAnsi="Times New Roman" w:eastAsia="仿宋_GB2312" w:cs="Times New Roman"/>
                <w:b w:val="0"/>
                <w:bCs w:val="0"/>
                <w:sz w:val="22"/>
                <w:szCs w:val="20"/>
              </w:rPr>
              <w:t>40</w:t>
            </w:r>
          </w:p>
        </w:tc>
        <w:tc>
          <w:tcPr>
            <w:tcW w:w="1684" w:type="dxa"/>
            <w:vMerge w:val="continue"/>
            <w:noWrap w:val="0"/>
            <w:vAlign w:val="center"/>
          </w:tcPr>
          <w:p>
            <w:pPr>
              <w:widowControl/>
              <w:spacing w:line="400" w:lineRule="exact"/>
              <w:rPr>
                <w:rFonts w:hint="default" w:ascii="Times New Roman" w:hAnsi="Times New Roman" w:eastAsia="仿宋_GB2312" w:cs="Times New Roman"/>
                <w:kern w:val="0"/>
                <w:sz w:val="24"/>
                <w:szCs w:val="20"/>
              </w:rPr>
            </w:pPr>
          </w:p>
        </w:tc>
        <w:tc>
          <w:tcPr>
            <w:tcW w:w="8077" w:type="dxa"/>
            <w:noWrap w:val="0"/>
            <w:vAlign w:val="center"/>
          </w:tcPr>
          <w:p>
            <w:pPr>
              <w:widowControl/>
              <w:spacing w:line="400" w:lineRule="exact"/>
              <w:jc w:val="left"/>
              <w:rPr>
                <w:rFonts w:hint="default" w:ascii="Times New Roman" w:hAnsi="Times New Roman" w:eastAsia="仿宋_GB2312" w:cs="Times New Roman"/>
                <w:kern w:val="0"/>
                <w:sz w:val="24"/>
                <w:szCs w:val="20"/>
              </w:rPr>
            </w:pPr>
            <w:r>
              <w:rPr>
                <w:rFonts w:hint="default" w:ascii="Times New Roman" w:hAnsi="Times New Roman" w:eastAsia="仿宋_GB2312" w:cs="Times New Roman"/>
                <w:sz w:val="24"/>
                <w:szCs w:val="20"/>
              </w:rPr>
              <w:t>3．结合履职实际，发挥会计、法律、资产评估、认证检验检测、公证、仲裁、税务等专业机构的监督作用，在监督执法中更多参考专业意见。加强监督执法的舆论宣传，曝光典型案件，维护社会正气，震慑违法行为。</w:t>
            </w:r>
          </w:p>
        </w:tc>
        <w:tc>
          <w:tcPr>
            <w:tcW w:w="1939" w:type="dxa"/>
            <w:noWrap w:val="0"/>
            <w:vAlign w:val="center"/>
          </w:tcPr>
          <w:p>
            <w:pPr>
              <w:widowControl/>
              <w:spacing w:line="400" w:lineRule="exact"/>
              <w:ind w:left="0" w:leftChars="0" w:right="0" w:rightChars="0" w:firstLine="0" w:firstLineChars="0"/>
              <w:jc w:val="center"/>
              <w:rPr>
                <w:rFonts w:hint="eastAsia" w:ascii="Times New Roman" w:hAnsi="Times New Roman" w:eastAsia="仿宋_GB2312" w:cs="Times New Roman"/>
                <w:kern w:val="0"/>
                <w:sz w:val="24"/>
                <w:szCs w:val="20"/>
                <w:lang w:eastAsia="zh-CN"/>
              </w:rPr>
            </w:pPr>
            <w:r>
              <w:rPr>
                <w:rFonts w:hint="eastAsia" w:eastAsia="仿宋_GB2312" w:cs="Times New Roman"/>
                <w:kern w:val="0"/>
                <w:sz w:val="24"/>
                <w:szCs w:val="20"/>
                <w:lang w:eastAsia="zh-CN"/>
              </w:rPr>
              <w:t>有关部门</w:t>
            </w:r>
          </w:p>
        </w:tc>
        <w:tc>
          <w:tcPr>
            <w:tcW w:w="1607" w:type="dxa"/>
            <w:noWrap w:val="0"/>
            <w:vAlign w:val="center"/>
          </w:tcPr>
          <w:p>
            <w:pPr>
              <w:widowControl/>
              <w:spacing w:line="400" w:lineRule="exact"/>
              <w:jc w:val="center"/>
              <w:rPr>
                <w:rFonts w:hint="default" w:ascii="Times New Roman" w:hAnsi="Times New Roman" w:eastAsia="仿宋_GB2312" w:cs="Times New Roman"/>
                <w:kern w:val="0"/>
                <w:sz w:val="24"/>
                <w:szCs w:val="20"/>
              </w:rPr>
            </w:pPr>
            <w:r>
              <w:rPr>
                <w:rFonts w:hint="default" w:ascii="Times New Roman" w:hAnsi="Times New Roman" w:eastAsia="仿宋_GB2312" w:cs="Times New Roman"/>
                <w:kern w:val="0"/>
                <w:sz w:val="24"/>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trPr>
        <w:tc>
          <w:tcPr>
            <w:tcW w:w="780" w:type="dxa"/>
            <w:noWrap w:val="0"/>
            <w:vAlign w:val="center"/>
          </w:tcPr>
          <w:p>
            <w:pPr>
              <w:spacing w:line="400" w:lineRule="exact"/>
              <w:jc w:val="center"/>
              <w:rPr>
                <w:rFonts w:hint="default" w:ascii="Times New Roman" w:hAnsi="Times New Roman" w:eastAsia="仿宋_GB2312" w:cs="Times New Roman"/>
                <w:b w:val="0"/>
                <w:bCs w:val="0"/>
                <w:sz w:val="22"/>
                <w:szCs w:val="20"/>
              </w:rPr>
            </w:pPr>
            <w:r>
              <w:rPr>
                <w:rFonts w:hint="default" w:ascii="Times New Roman" w:hAnsi="Times New Roman" w:eastAsia="仿宋_GB2312" w:cs="Times New Roman"/>
                <w:b w:val="0"/>
                <w:bCs w:val="0"/>
                <w:sz w:val="22"/>
                <w:szCs w:val="20"/>
              </w:rPr>
              <w:t>41</w:t>
            </w:r>
          </w:p>
        </w:tc>
        <w:tc>
          <w:tcPr>
            <w:tcW w:w="1684" w:type="dxa"/>
            <w:noWrap w:val="0"/>
            <w:vAlign w:val="center"/>
          </w:tcPr>
          <w:p>
            <w:pPr>
              <w:spacing w:line="400" w:lineRule="exact"/>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十三、规范涉企执法检查</w:t>
            </w:r>
          </w:p>
        </w:tc>
        <w:tc>
          <w:tcPr>
            <w:tcW w:w="8077" w:type="dxa"/>
            <w:noWrap w:val="0"/>
            <w:vAlign w:val="center"/>
          </w:tcPr>
          <w:p>
            <w:pPr>
              <w:spacing w:line="400" w:lineRule="exact"/>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制定和完善行政执法自由裁量基准制度，合理确定裁量范围、种类和幅度，严格限定裁量权的行使。</w:t>
            </w:r>
          </w:p>
        </w:tc>
        <w:tc>
          <w:tcPr>
            <w:tcW w:w="1939" w:type="dxa"/>
            <w:noWrap w:val="0"/>
            <w:vAlign w:val="center"/>
          </w:tcPr>
          <w:p>
            <w:pPr>
              <w:spacing w:line="400" w:lineRule="exact"/>
              <w:ind w:left="0" w:leftChars="0" w:right="0" w:rightChars="0" w:firstLine="0" w:firstLineChars="0"/>
              <w:jc w:val="center"/>
              <w:rPr>
                <w:rFonts w:hint="eastAsia" w:ascii="Times New Roman" w:hAnsi="Times New Roman" w:eastAsia="仿宋_GB2312" w:cs="Times New Roman"/>
                <w:sz w:val="24"/>
                <w:szCs w:val="20"/>
                <w:lang w:eastAsia="zh-CN"/>
              </w:rPr>
            </w:pPr>
            <w:r>
              <w:rPr>
                <w:rFonts w:hint="eastAsia" w:eastAsia="仿宋_GB2312" w:cs="Times New Roman"/>
                <w:sz w:val="24"/>
                <w:szCs w:val="20"/>
                <w:lang w:eastAsia="zh-CN"/>
              </w:rPr>
              <w:t>有关部门</w:t>
            </w:r>
          </w:p>
        </w:tc>
        <w:tc>
          <w:tcPr>
            <w:tcW w:w="1607" w:type="dxa"/>
            <w:noWrap w:val="0"/>
            <w:vAlign w:val="center"/>
          </w:tcPr>
          <w:p>
            <w:pPr>
              <w:spacing w:line="400" w:lineRule="exact"/>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3" w:hRule="atLeast"/>
        </w:trPr>
        <w:tc>
          <w:tcPr>
            <w:tcW w:w="780" w:type="dxa"/>
            <w:noWrap w:val="0"/>
            <w:vAlign w:val="center"/>
          </w:tcPr>
          <w:p>
            <w:pPr>
              <w:spacing w:line="400" w:lineRule="exact"/>
              <w:jc w:val="center"/>
              <w:rPr>
                <w:rFonts w:hint="default" w:ascii="Times New Roman" w:hAnsi="Times New Roman" w:eastAsia="仿宋_GB2312" w:cs="Times New Roman"/>
                <w:b w:val="0"/>
                <w:bCs w:val="0"/>
                <w:sz w:val="22"/>
                <w:szCs w:val="20"/>
              </w:rPr>
            </w:pPr>
            <w:r>
              <w:rPr>
                <w:rFonts w:hint="default" w:ascii="Times New Roman" w:hAnsi="Times New Roman" w:eastAsia="仿宋_GB2312" w:cs="Times New Roman"/>
                <w:b w:val="0"/>
                <w:bCs w:val="0"/>
                <w:sz w:val="22"/>
                <w:szCs w:val="20"/>
              </w:rPr>
              <w:t>42</w:t>
            </w:r>
          </w:p>
        </w:tc>
        <w:tc>
          <w:tcPr>
            <w:tcW w:w="1684" w:type="dxa"/>
            <w:noWrap w:val="0"/>
            <w:vAlign w:val="center"/>
          </w:tcPr>
          <w:p>
            <w:pPr>
              <w:spacing w:line="400" w:lineRule="exact"/>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十四、全面推进监管执法公开</w:t>
            </w:r>
          </w:p>
        </w:tc>
        <w:tc>
          <w:tcPr>
            <w:tcW w:w="8077" w:type="dxa"/>
            <w:noWrap w:val="0"/>
            <w:vAlign w:val="center"/>
          </w:tcPr>
          <w:p>
            <w:pPr>
              <w:spacing w:line="400" w:lineRule="exact"/>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继续推行行政执法三项制度,落实完善执法公示、全过程记录和重大执法决定法制审核等相关细化制度,指导和监督各部门严格贯彻落实制度要求。持续发挥天津市行政执法监督平台监督主渠道作用和主阵地作用,对行政检查、行政处罚、行政强制等行为进行监督,促进执法部门依法主动履职,严格规范公正文明执法。</w:t>
            </w:r>
          </w:p>
        </w:tc>
        <w:tc>
          <w:tcPr>
            <w:tcW w:w="1939" w:type="dxa"/>
            <w:noWrap w:val="0"/>
            <w:vAlign w:val="center"/>
          </w:tcPr>
          <w:p>
            <w:pPr>
              <w:spacing w:line="400" w:lineRule="exact"/>
              <w:ind w:left="0" w:leftChars="0" w:right="0" w:rightChars="0" w:firstLine="0" w:firstLineChars="0"/>
              <w:jc w:val="center"/>
              <w:rPr>
                <w:rFonts w:hint="eastAsia" w:ascii="Times New Roman" w:hAnsi="Times New Roman" w:eastAsia="仿宋_GB2312" w:cs="Times New Roman"/>
                <w:sz w:val="24"/>
                <w:szCs w:val="20"/>
                <w:lang w:eastAsia="zh-CN"/>
              </w:rPr>
            </w:pPr>
            <w:r>
              <w:rPr>
                <w:rFonts w:hint="default" w:ascii="Times New Roman" w:hAnsi="Times New Roman" w:eastAsia="仿宋_GB2312" w:cs="Times New Roman"/>
                <w:sz w:val="24"/>
                <w:szCs w:val="20"/>
              </w:rPr>
              <w:t>区司法局、</w:t>
            </w:r>
            <w:r>
              <w:rPr>
                <w:rFonts w:hint="eastAsia" w:eastAsia="仿宋_GB2312" w:cs="Times New Roman"/>
                <w:sz w:val="24"/>
                <w:szCs w:val="20"/>
                <w:lang w:eastAsia="zh-CN"/>
              </w:rPr>
              <w:t>有关部门</w:t>
            </w:r>
          </w:p>
        </w:tc>
        <w:tc>
          <w:tcPr>
            <w:tcW w:w="1607" w:type="dxa"/>
            <w:noWrap w:val="0"/>
            <w:vAlign w:val="center"/>
          </w:tcPr>
          <w:p>
            <w:pPr>
              <w:spacing w:line="400" w:lineRule="exact"/>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trPr>
        <w:tc>
          <w:tcPr>
            <w:tcW w:w="780" w:type="dxa"/>
            <w:noWrap w:val="0"/>
            <w:vAlign w:val="center"/>
          </w:tcPr>
          <w:p>
            <w:pPr>
              <w:spacing w:line="400" w:lineRule="exact"/>
              <w:jc w:val="center"/>
              <w:rPr>
                <w:rFonts w:hint="default" w:ascii="Times New Roman" w:hAnsi="Times New Roman" w:eastAsia="仿宋_GB2312" w:cs="Times New Roman"/>
                <w:b w:val="0"/>
                <w:bCs w:val="0"/>
                <w:sz w:val="22"/>
                <w:szCs w:val="20"/>
              </w:rPr>
            </w:pPr>
            <w:r>
              <w:rPr>
                <w:rFonts w:hint="default" w:ascii="Times New Roman" w:hAnsi="Times New Roman" w:eastAsia="仿宋_GB2312" w:cs="Times New Roman"/>
                <w:b w:val="0"/>
                <w:bCs w:val="0"/>
                <w:sz w:val="22"/>
                <w:szCs w:val="20"/>
              </w:rPr>
              <w:t>43</w:t>
            </w:r>
          </w:p>
        </w:tc>
        <w:tc>
          <w:tcPr>
            <w:tcW w:w="1684" w:type="dxa"/>
            <w:noWrap w:val="0"/>
            <w:vAlign w:val="center"/>
          </w:tcPr>
          <w:p>
            <w:pPr>
              <w:spacing w:line="400" w:lineRule="exact"/>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十五、健全尽职免责、失职问责办法</w:t>
            </w:r>
          </w:p>
        </w:tc>
        <w:tc>
          <w:tcPr>
            <w:tcW w:w="8077" w:type="dxa"/>
            <w:noWrap w:val="0"/>
            <w:vAlign w:val="center"/>
          </w:tcPr>
          <w:p>
            <w:pPr>
              <w:spacing w:line="400" w:lineRule="exact"/>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落实“尽职照单免责，失职照单问责”原则，规范执法监督，让追责问责有据可查。</w:t>
            </w:r>
          </w:p>
        </w:tc>
        <w:tc>
          <w:tcPr>
            <w:tcW w:w="1939" w:type="dxa"/>
            <w:noWrap w:val="0"/>
            <w:vAlign w:val="center"/>
          </w:tcPr>
          <w:p>
            <w:pPr>
              <w:spacing w:line="400" w:lineRule="exact"/>
              <w:ind w:left="0" w:leftChars="0" w:right="0" w:rightChars="0" w:firstLine="0" w:firstLineChars="0"/>
              <w:jc w:val="center"/>
              <w:rPr>
                <w:rFonts w:hint="eastAsia" w:ascii="Times New Roman" w:hAnsi="Times New Roman" w:eastAsia="仿宋_GB2312" w:cs="Times New Roman"/>
                <w:sz w:val="24"/>
                <w:szCs w:val="20"/>
                <w:lang w:eastAsia="zh-CN"/>
              </w:rPr>
            </w:pPr>
            <w:r>
              <w:rPr>
                <w:rFonts w:hint="default" w:ascii="Times New Roman" w:hAnsi="Times New Roman" w:eastAsia="仿宋_GB2312" w:cs="Times New Roman"/>
                <w:sz w:val="24"/>
                <w:szCs w:val="20"/>
              </w:rPr>
              <w:t>区司法局、</w:t>
            </w:r>
            <w:r>
              <w:rPr>
                <w:rFonts w:hint="eastAsia" w:eastAsia="仿宋_GB2312" w:cs="Times New Roman"/>
                <w:sz w:val="24"/>
                <w:szCs w:val="20"/>
                <w:lang w:eastAsia="zh-CN"/>
              </w:rPr>
              <w:t>有关部门</w:t>
            </w:r>
          </w:p>
        </w:tc>
        <w:tc>
          <w:tcPr>
            <w:tcW w:w="1607" w:type="dxa"/>
            <w:noWrap w:val="0"/>
            <w:vAlign w:val="center"/>
          </w:tcPr>
          <w:p>
            <w:pPr>
              <w:spacing w:line="400" w:lineRule="exact"/>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持续推进</w:t>
            </w:r>
          </w:p>
        </w:tc>
      </w:tr>
    </w:tbl>
    <w:p>
      <w:pPr>
        <w:pStyle w:val="4"/>
        <w:adjustRightInd w:val="0"/>
        <w:snapToGrid w:val="0"/>
        <w:spacing w:line="520" w:lineRule="exact"/>
        <w:rPr>
          <w:rFonts w:hint="eastAsia"/>
          <w:color w:val="000000"/>
          <w:szCs w:val="32"/>
          <w:lang w:val="en-US" w:eastAsia="zh-CN"/>
        </w:rPr>
      </w:pPr>
    </w:p>
    <w:sectPr>
      <w:pgSz w:w="16838" w:h="11906" w:orient="landscape"/>
      <w:pgMar w:top="1588" w:right="2098" w:bottom="1474" w:left="1985" w:header="851" w:footer="992"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Arial">
    <w:altName w:val="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4"/>
        <w:rFonts w:ascii="宋体" w:hAnsi="宋体"/>
        <w:sz w:val="28"/>
        <w:szCs w:val="28"/>
      </w:rPr>
    </w:pPr>
    <w:r>
      <w:rPr>
        <w:rStyle w:val="14"/>
        <w:rFonts w:ascii="宋体" w:hAnsi="宋体"/>
        <w:sz w:val="28"/>
        <w:szCs w:val="28"/>
      </w:rPr>
      <w:fldChar w:fldCharType="begin"/>
    </w:r>
    <w:r>
      <w:rPr>
        <w:rStyle w:val="14"/>
        <w:rFonts w:ascii="宋体" w:hAnsi="宋体"/>
        <w:sz w:val="28"/>
        <w:szCs w:val="28"/>
      </w:rPr>
      <w:instrText xml:space="preserve">PAGE  </w:instrText>
    </w:r>
    <w:r>
      <w:rPr>
        <w:rStyle w:val="14"/>
        <w:rFonts w:ascii="宋体" w:hAnsi="宋体"/>
        <w:sz w:val="28"/>
        <w:szCs w:val="28"/>
      </w:rPr>
      <w:fldChar w:fldCharType="separate"/>
    </w:r>
    <w:r>
      <w:rPr>
        <w:rStyle w:val="14"/>
        <w:rFonts w:ascii="宋体" w:hAnsi="宋体"/>
        <w:sz w:val="28"/>
        <w:szCs w:val="28"/>
      </w:rPr>
      <w:t>- 6 -</w:t>
    </w:r>
    <w:r>
      <w:rPr>
        <w:rStyle w:val="14"/>
        <w:rFonts w:ascii="宋体" w:hAnsi="宋体"/>
        <w:sz w:val="28"/>
        <w:szCs w:val="28"/>
      </w:rPr>
      <w:fldChar w:fldCharType="end"/>
    </w:r>
  </w:p>
  <w:p>
    <w:pPr>
      <w:pStyle w:val="8"/>
      <w:ind w:right="360" w:firstLine="360"/>
      <w:jc w:val="center"/>
      <w:rPr>
        <w:rFonts w:ascii="宋体" w:hAnsi="宋体"/>
        <w:sz w:val="28"/>
        <w:szCs w:val="28"/>
      </w:rPr>
    </w:pP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BB3"/>
    <w:rsid w:val="00005D75"/>
    <w:rsid w:val="00005FEB"/>
    <w:rsid w:val="00012A0B"/>
    <w:rsid w:val="00013DB5"/>
    <w:rsid w:val="0001625B"/>
    <w:rsid w:val="00026C33"/>
    <w:rsid w:val="00032508"/>
    <w:rsid w:val="00033997"/>
    <w:rsid w:val="000355D9"/>
    <w:rsid w:val="00036CED"/>
    <w:rsid w:val="000413FC"/>
    <w:rsid w:val="00043C4F"/>
    <w:rsid w:val="000451B3"/>
    <w:rsid w:val="00052C95"/>
    <w:rsid w:val="00053C50"/>
    <w:rsid w:val="00065837"/>
    <w:rsid w:val="0007375C"/>
    <w:rsid w:val="000756B8"/>
    <w:rsid w:val="00076BF3"/>
    <w:rsid w:val="000802CC"/>
    <w:rsid w:val="0008235D"/>
    <w:rsid w:val="000837DB"/>
    <w:rsid w:val="000860B2"/>
    <w:rsid w:val="00086C1F"/>
    <w:rsid w:val="000911F0"/>
    <w:rsid w:val="0009274C"/>
    <w:rsid w:val="0009373B"/>
    <w:rsid w:val="00093B5C"/>
    <w:rsid w:val="00094D40"/>
    <w:rsid w:val="00096629"/>
    <w:rsid w:val="000A0180"/>
    <w:rsid w:val="000A6D3C"/>
    <w:rsid w:val="000B1886"/>
    <w:rsid w:val="000B19C0"/>
    <w:rsid w:val="000B5484"/>
    <w:rsid w:val="000B7927"/>
    <w:rsid w:val="000B796F"/>
    <w:rsid w:val="000C3BFB"/>
    <w:rsid w:val="000C6786"/>
    <w:rsid w:val="000C75DF"/>
    <w:rsid w:val="000D0729"/>
    <w:rsid w:val="000D3BD3"/>
    <w:rsid w:val="000D51E4"/>
    <w:rsid w:val="000E0B7D"/>
    <w:rsid w:val="000E2657"/>
    <w:rsid w:val="000E26CA"/>
    <w:rsid w:val="000E4952"/>
    <w:rsid w:val="000E7A86"/>
    <w:rsid w:val="000F02C5"/>
    <w:rsid w:val="000F30E5"/>
    <w:rsid w:val="00104591"/>
    <w:rsid w:val="00115980"/>
    <w:rsid w:val="00122CB1"/>
    <w:rsid w:val="001321D8"/>
    <w:rsid w:val="00133F2D"/>
    <w:rsid w:val="001357DE"/>
    <w:rsid w:val="0013631A"/>
    <w:rsid w:val="00136DBE"/>
    <w:rsid w:val="00137C0C"/>
    <w:rsid w:val="00140635"/>
    <w:rsid w:val="00141891"/>
    <w:rsid w:val="00145375"/>
    <w:rsid w:val="001459AD"/>
    <w:rsid w:val="0015107E"/>
    <w:rsid w:val="001572F6"/>
    <w:rsid w:val="00165A61"/>
    <w:rsid w:val="0016728A"/>
    <w:rsid w:val="00173420"/>
    <w:rsid w:val="00175E5B"/>
    <w:rsid w:val="00185981"/>
    <w:rsid w:val="001912BE"/>
    <w:rsid w:val="00197DE1"/>
    <w:rsid w:val="001A54BF"/>
    <w:rsid w:val="001B1EB1"/>
    <w:rsid w:val="001B66AA"/>
    <w:rsid w:val="001C1551"/>
    <w:rsid w:val="001C618D"/>
    <w:rsid w:val="001D076D"/>
    <w:rsid w:val="001D0976"/>
    <w:rsid w:val="001D0FB3"/>
    <w:rsid w:val="001D1E19"/>
    <w:rsid w:val="001F768F"/>
    <w:rsid w:val="00210A9B"/>
    <w:rsid w:val="002113CF"/>
    <w:rsid w:val="0021213B"/>
    <w:rsid w:val="00213E2B"/>
    <w:rsid w:val="0021545D"/>
    <w:rsid w:val="00216083"/>
    <w:rsid w:val="00222A2B"/>
    <w:rsid w:val="00225659"/>
    <w:rsid w:val="00226265"/>
    <w:rsid w:val="00230510"/>
    <w:rsid w:val="00252644"/>
    <w:rsid w:val="0025608E"/>
    <w:rsid w:val="002574A2"/>
    <w:rsid w:val="002611BA"/>
    <w:rsid w:val="00262B89"/>
    <w:rsid w:val="0026529E"/>
    <w:rsid w:val="00266993"/>
    <w:rsid w:val="00266A4A"/>
    <w:rsid w:val="00270F8C"/>
    <w:rsid w:val="00271893"/>
    <w:rsid w:val="00272403"/>
    <w:rsid w:val="002741C8"/>
    <w:rsid w:val="00277670"/>
    <w:rsid w:val="00281ABA"/>
    <w:rsid w:val="00291B2C"/>
    <w:rsid w:val="002979FD"/>
    <w:rsid w:val="002A2955"/>
    <w:rsid w:val="002A35C2"/>
    <w:rsid w:val="002A4588"/>
    <w:rsid w:val="002B010D"/>
    <w:rsid w:val="002B1774"/>
    <w:rsid w:val="002B3AD4"/>
    <w:rsid w:val="002B482E"/>
    <w:rsid w:val="002B4D5D"/>
    <w:rsid w:val="002B7CD1"/>
    <w:rsid w:val="002C4A94"/>
    <w:rsid w:val="002C5FD9"/>
    <w:rsid w:val="002C784F"/>
    <w:rsid w:val="002D2AC7"/>
    <w:rsid w:val="002D309B"/>
    <w:rsid w:val="002D6CD9"/>
    <w:rsid w:val="002D744D"/>
    <w:rsid w:val="002D7E88"/>
    <w:rsid w:val="002E6D30"/>
    <w:rsid w:val="002F069C"/>
    <w:rsid w:val="002F13E3"/>
    <w:rsid w:val="002F1737"/>
    <w:rsid w:val="002F1DC4"/>
    <w:rsid w:val="00300C96"/>
    <w:rsid w:val="00301648"/>
    <w:rsid w:val="00302BB0"/>
    <w:rsid w:val="00302F9B"/>
    <w:rsid w:val="003035CE"/>
    <w:rsid w:val="0031270C"/>
    <w:rsid w:val="003224AF"/>
    <w:rsid w:val="00323336"/>
    <w:rsid w:val="003244FA"/>
    <w:rsid w:val="00327C60"/>
    <w:rsid w:val="00330F0E"/>
    <w:rsid w:val="00331F25"/>
    <w:rsid w:val="00336D5C"/>
    <w:rsid w:val="00341040"/>
    <w:rsid w:val="00344BD6"/>
    <w:rsid w:val="003463F4"/>
    <w:rsid w:val="0035058B"/>
    <w:rsid w:val="003607E2"/>
    <w:rsid w:val="00361A57"/>
    <w:rsid w:val="00362BB3"/>
    <w:rsid w:val="003649D0"/>
    <w:rsid w:val="00370317"/>
    <w:rsid w:val="00384A91"/>
    <w:rsid w:val="00386996"/>
    <w:rsid w:val="0038728A"/>
    <w:rsid w:val="003B1290"/>
    <w:rsid w:val="003B5315"/>
    <w:rsid w:val="003B6189"/>
    <w:rsid w:val="003B76CB"/>
    <w:rsid w:val="003C5501"/>
    <w:rsid w:val="003C6AAC"/>
    <w:rsid w:val="003D157A"/>
    <w:rsid w:val="003D16CD"/>
    <w:rsid w:val="003D2C52"/>
    <w:rsid w:val="003D58BA"/>
    <w:rsid w:val="003E0315"/>
    <w:rsid w:val="003E3718"/>
    <w:rsid w:val="003E5A9E"/>
    <w:rsid w:val="003F133F"/>
    <w:rsid w:val="0040297D"/>
    <w:rsid w:val="00403332"/>
    <w:rsid w:val="00411F9A"/>
    <w:rsid w:val="004129DC"/>
    <w:rsid w:val="00427E5A"/>
    <w:rsid w:val="00430A72"/>
    <w:rsid w:val="004326C1"/>
    <w:rsid w:val="0043373F"/>
    <w:rsid w:val="00440146"/>
    <w:rsid w:val="00442F38"/>
    <w:rsid w:val="00443547"/>
    <w:rsid w:val="0045460A"/>
    <w:rsid w:val="00464847"/>
    <w:rsid w:val="00465803"/>
    <w:rsid w:val="004745D9"/>
    <w:rsid w:val="00475EB3"/>
    <w:rsid w:val="004762F4"/>
    <w:rsid w:val="004770C9"/>
    <w:rsid w:val="00481E78"/>
    <w:rsid w:val="00485BA9"/>
    <w:rsid w:val="00495A26"/>
    <w:rsid w:val="004A43FC"/>
    <w:rsid w:val="004B01C3"/>
    <w:rsid w:val="004B14FF"/>
    <w:rsid w:val="004B2AC6"/>
    <w:rsid w:val="004C7DD4"/>
    <w:rsid w:val="004D6EC1"/>
    <w:rsid w:val="004E055F"/>
    <w:rsid w:val="004E0E96"/>
    <w:rsid w:val="004E6084"/>
    <w:rsid w:val="004F2447"/>
    <w:rsid w:val="004F7D17"/>
    <w:rsid w:val="00502D73"/>
    <w:rsid w:val="00504686"/>
    <w:rsid w:val="00505C4E"/>
    <w:rsid w:val="00507DE7"/>
    <w:rsid w:val="00511493"/>
    <w:rsid w:val="005128C5"/>
    <w:rsid w:val="0052397C"/>
    <w:rsid w:val="00524AF1"/>
    <w:rsid w:val="00525C2D"/>
    <w:rsid w:val="00527B5E"/>
    <w:rsid w:val="005303A6"/>
    <w:rsid w:val="00531D85"/>
    <w:rsid w:val="00534267"/>
    <w:rsid w:val="00534B36"/>
    <w:rsid w:val="00541798"/>
    <w:rsid w:val="00543457"/>
    <w:rsid w:val="00551475"/>
    <w:rsid w:val="0056195B"/>
    <w:rsid w:val="00566058"/>
    <w:rsid w:val="005673D9"/>
    <w:rsid w:val="00567941"/>
    <w:rsid w:val="0057005B"/>
    <w:rsid w:val="005701A6"/>
    <w:rsid w:val="0057327F"/>
    <w:rsid w:val="00574C78"/>
    <w:rsid w:val="00575354"/>
    <w:rsid w:val="0057728A"/>
    <w:rsid w:val="00581142"/>
    <w:rsid w:val="00581EDE"/>
    <w:rsid w:val="005846EA"/>
    <w:rsid w:val="0059322D"/>
    <w:rsid w:val="005941C4"/>
    <w:rsid w:val="00595B8A"/>
    <w:rsid w:val="0059786C"/>
    <w:rsid w:val="005A3BA6"/>
    <w:rsid w:val="005A4663"/>
    <w:rsid w:val="005A7DC8"/>
    <w:rsid w:val="005B7703"/>
    <w:rsid w:val="005C0F27"/>
    <w:rsid w:val="005C3467"/>
    <w:rsid w:val="005C3601"/>
    <w:rsid w:val="005E0894"/>
    <w:rsid w:val="005E196D"/>
    <w:rsid w:val="005E373B"/>
    <w:rsid w:val="005E3AFE"/>
    <w:rsid w:val="005E6D18"/>
    <w:rsid w:val="005E6DA2"/>
    <w:rsid w:val="005F02AB"/>
    <w:rsid w:val="005F09CD"/>
    <w:rsid w:val="005F1C41"/>
    <w:rsid w:val="005F444B"/>
    <w:rsid w:val="00617D00"/>
    <w:rsid w:val="006269AC"/>
    <w:rsid w:val="00631526"/>
    <w:rsid w:val="0063522E"/>
    <w:rsid w:val="00642F43"/>
    <w:rsid w:val="006435D8"/>
    <w:rsid w:val="00646F9C"/>
    <w:rsid w:val="006504E1"/>
    <w:rsid w:val="006544B9"/>
    <w:rsid w:val="006604A4"/>
    <w:rsid w:val="006647A9"/>
    <w:rsid w:val="00670D1D"/>
    <w:rsid w:val="00675931"/>
    <w:rsid w:val="006834D6"/>
    <w:rsid w:val="00686B83"/>
    <w:rsid w:val="006A170A"/>
    <w:rsid w:val="006A2396"/>
    <w:rsid w:val="006B075F"/>
    <w:rsid w:val="006B6709"/>
    <w:rsid w:val="006C3128"/>
    <w:rsid w:val="006D63E5"/>
    <w:rsid w:val="006D7F4D"/>
    <w:rsid w:val="006E5F73"/>
    <w:rsid w:val="006E675A"/>
    <w:rsid w:val="006E7E3D"/>
    <w:rsid w:val="006F07E6"/>
    <w:rsid w:val="006F3DCF"/>
    <w:rsid w:val="006F52EE"/>
    <w:rsid w:val="006F6B66"/>
    <w:rsid w:val="006F6BF2"/>
    <w:rsid w:val="00701425"/>
    <w:rsid w:val="00702536"/>
    <w:rsid w:val="00702611"/>
    <w:rsid w:val="00704169"/>
    <w:rsid w:val="00704774"/>
    <w:rsid w:val="00705DA9"/>
    <w:rsid w:val="00712420"/>
    <w:rsid w:val="00720568"/>
    <w:rsid w:val="00730D8E"/>
    <w:rsid w:val="007335C0"/>
    <w:rsid w:val="00733E0E"/>
    <w:rsid w:val="00734170"/>
    <w:rsid w:val="00735D75"/>
    <w:rsid w:val="00737911"/>
    <w:rsid w:val="007413EF"/>
    <w:rsid w:val="00743296"/>
    <w:rsid w:val="00743548"/>
    <w:rsid w:val="00756E1C"/>
    <w:rsid w:val="00757F2A"/>
    <w:rsid w:val="00764E91"/>
    <w:rsid w:val="007667C1"/>
    <w:rsid w:val="00770A36"/>
    <w:rsid w:val="00776593"/>
    <w:rsid w:val="00777585"/>
    <w:rsid w:val="007802AB"/>
    <w:rsid w:val="0079043D"/>
    <w:rsid w:val="00791433"/>
    <w:rsid w:val="00792277"/>
    <w:rsid w:val="0079410B"/>
    <w:rsid w:val="00796F35"/>
    <w:rsid w:val="00797129"/>
    <w:rsid w:val="007A12D6"/>
    <w:rsid w:val="007A3160"/>
    <w:rsid w:val="007B14CC"/>
    <w:rsid w:val="007C77F1"/>
    <w:rsid w:val="007C7D23"/>
    <w:rsid w:val="007C7F11"/>
    <w:rsid w:val="007C7F3E"/>
    <w:rsid w:val="007D6C9D"/>
    <w:rsid w:val="007E7A12"/>
    <w:rsid w:val="007F2C01"/>
    <w:rsid w:val="007F4D65"/>
    <w:rsid w:val="007F5BD4"/>
    <w:rsid w:val="007F7750"/>
    <w:rsid w:val="00802C44"/>
    <w:rsid w:val="008044B1"/>
    <w:rsid w:val="00805377"/>
    <w:rsid w:val="00806987"/>
    <w:rsid w:val="0081589E"/>
    <w:rsid w:val="008233F0"/>
    <w:rsid w:val="00823D10"/>
    <w:rsid w:val="00825A2D"/>
    <w:rsid w:val="00832AF5"/>
    <w:rsid w:val="0083495C"/>
    <w:rsid w:val="00845B88"/>
    <w:rsid w:val="0084661F"/>
    <w:rsid w:val="008563D1"/>
    <w:rsid w:val="00856984"/>
    <w:rsid w:val="0086341F"/>
    <w:rsid w:val="00871DA6"/>
    <w:rsid w:val="00873BCC"/>
    <w:rsid w:val="00873DCB"/>
    <w:rsid w:val="00876CD5"/>
    <w:rsid w:val="0087740E"/>
    <w:rsid w:val="00881EE2"/>
    <w:rsid w:val="008824CD"/>
    <w:rsid w:val="008837DE"/>
    <w:rsid w:val="00885465"/>
    <w:rsid w:val="00897CEB"/>
    <w:rsid w:val="008A68F1"/>
    <w:rsid w:val="008B06EC"/>
    <w:rsid w:val="008B237F"/>
    <w:rsid w:val="008B6908"/>
    <w:rsid w:val="008B7920"/>
    <w:rsid w:val="008C1595"/>
    <w:rsid w:val="008C2640"/>
    <w:rsid w:val="008C51DA"/>
    <w:rsid w:val="008C5500"/>
    <w:rsid w:val="008C6EC5"/>
    <w:rsid w:val="008D1512"/>
    <w:rsid w:val="008E14F7"/>
    <w:rsid w:val="008F22C5"/>
    <w:rsid w:val="008F4CEC"/>
    <w:rsid w:val="008F53A5"/>
    <w:rsid w:val="00903A62"/>
    <w:rsid w:val="009044AB"/>
    <w:rsid w:val="00906AD6"/>
    <w:rsid w:val="00906FB0"/>
    <w:rsid w:val="00915290"/>
    <w:rsid w:val="00922D98"/>
    <w:rsid w:val="00925804"/>
    <w:rsid w:val="00926D5A"/>
    <w:rsid w:val="00934557"/>
    <w:rsid w:val="0093530A"/>
    <w:rsid w:val="00937879"/>
    <w:rsid w:val="009435CB"/>
    <w:rsid w:val="009444A7"/>
    <w:rsid w:val="00960ED8"/>
    <w:rsid w:val="0096200B"/>
    <w:rsid w:val="00981133"/>
    <w:rsid w:val="009827BC"/>
    <w:rsid w:val="0098429F"/>
    <w:rsid w:val="00991C85"/>
    <w:rsid w:val="00994A32"/>
    <w:rsid w:val="009975CE"/>
    <w:rsid w:val="009A0358"/>
    <w:rsid w:val="009A08E2"/>
    <w:rsid w:val="009A4BD4"/>
    <w:rsid w:val="009A713B"/>
    <w:rsid w:val="009B2D58"/>
    <w:rsid w:val="009C1B59"/>
    <w:rsid w:val="009C3FEB"/>
    <w:rsid w:val="009D08E5"/>
    <w:rsid w:val="009D1847"/>
    <w:rsid w:val="009E4D15"/>
    <w:rsid w:val="009F37C7"/>
    <w:rsid w:val="009F6741"/>
    <w:rsid w:val="00A04CFF"/>
    <w:rsid w:val="00A0668E"/>
    <w:rsid w:val="00A13256"/>
    <w:rsid w:val="00A20F58"/>
    <w:rsid w:val="00A3086D"/>
    <w:rsid w:val="00A31061"/>
    <w:rsid w:val="00A3386C"/>
    <w:rsid w:val="00A3394B"/>
    <w:rsid w:val="00A353AF"/>
    <w:rsid w:val="00A364D8"/>
    <w:rsid w:val="00A36EC7"/>
    <w:rsid w:val="00A40A8B"/>
    <w:rsid w:val="00A5119D"/>
    <w:rsid w:val="00A52A1E"/>
    <w:rsid w:val="00A61160"/>
    <w:rsid w:val="00A67C6D"/>
    <w:rsid w:val="00A7243E"/>
    <w:rsid w:val="00A72DC5"/>
    <w:rsid w:val="00A77C82"/>
    <w:rsid w:val="00A817C1"/>
    <w:rsid w:val="00A85581"/>
    <w:rsid w:val="00A933A6"/>
    <w:rsid w:val="00A969E0"/>
    <w:rsid w:val="00AA210C"/>
    <w:rsid w:val="00AA669A"/>
    <w:rsid w:val="00AB07BF"/>
    <w:rsid w:val="00AB0C9A"/>
    <w:rsid w:val="00AB3598"/>
    <w:rsid w:val="00AB3630"/>
    <w:rsid w:val="00AB3C99"/>
    <w:rsid w:val="00AC0BCA"/>
    <w:rsid w:val="00AC0F57"/>
    <w:rsid w:val="00AC1281"/>
    <w:rsid w:val="00AC33D2"/>
    <w:rsid w:val="00AC45B1"/>
    <w:rsid w:val="00AD27E6"/>
    <w:rsid w:val="00AD669A"/>
    <w:rsid w:val="00AE3E2E"/>
    <w:rsid w:val="00AF124B"/>
    <w:rsid w:val="00AF16F3"/>
    <w:rsid w:val="00AF3A8A"/>
    <w:rsid w:val="00B00D37"/>
    <w:rsid w:val="00B07D19"/>
    <w:rsid w:val="00B10655"/>
    <w:rsid w:val="00B14A36"/>
    <w:rsid w:val="00B300FD"/>
    <w:rsid w:val="00B35EEF"/>
    <w:rsid w:val="00B560A0"/>
    <w:rsid w:val="00B663FD"/>
    <w:rsid w:val="00B70197"/>
    <w:rsid w:val="00B70EC7"/>
    <w:rsid w:val="00B71C12"/>
    <w:rsid w:val="00B743D4"/>
    <w:rsid w:val="00B75AFA"/>
    <w:rsid w:val="00B77B7A"/>
    <w:rsid w:val="00B80E40"/>
    <w:rsid w:val="00B81AD9"/>
    <w:rsid w:val="00B85A44"/>
    <w:rsid w:val="00B920B7"/>
    <w:rsid w:val="00B9359E"/>
    <w:rsid w:val="00B93DD5"/>
    <w:rsid w:val="00BA10F9"/>
    <w:rsid w:val="00BA1D71"/>
    <w:rsid w:val="00BA6313"/>
    <w:rsid w:val="00BB5090"/>
    <w:rsid w:val="00BC0D04"/>
    <w:rsid w:val="00BE40C8"/>
    <w:rsid w:val="00BE6034"/>
    <w:rsid w:val="00BE6554"/>
    <w:rsid w:val="00BF23C0"/>
    <w:rsid w:val="00BF2F97"/>
    <w:rsid w:val="00BF3903"/>
    <w:rsid w:val="00C0140E"/>
    <w:rsid w:val="00C03302"/>
    <w:rsid w:val="00C037BA"/>
    <w:rsid w:val="00C04839"/>
    <w:rsid w:val="00C054AC"/>
    <w:rsid w:val="00C06538"/>
    <w:rsid w:val="00C23A96"/>
    <w:rsid w:val="00C31D52"/>
    <w:rsid w:val="00C354DC"/>
    <w:rsid w:val="00C51635"/>
    <w:rsid w:val="00C536AC"/>
    <w:rsid w:val="00C55A95"/>
    <w:rsid w:val="00C56FFE"/>
    <w:rsid w:val="00C62B9B"/>
    <w:rsid w:val="00C67258"/>
    <w:rsid w:val="00C71DF0"/>
    <w:rsid w:val="00C76517"/>
    <w:rsid w:val="00C817BF"/>
    <w:rsid w:val="00C84B26"/>
    <w:rsid w:val="00C93BAD"/>
    <w:rsid w:val="00C94ED2"/>
    <w:rsid w:val="00C97582"/>
    <w:rsid w:val="00CA4410"/>
    <w:rsid w:val="00CA50AF"/>
    <w:rsid w:val="00CB379B"/>
    <w:rsid w:val="00CB67AE"/>
    <w:rsid w:val="00CC3CBA"/>
    <w:rsid w:val="00CD075F"/>
    <w:rsid w:val="00CD55AD"/>
    <w:rsid w:val="00CE6C67"/>
    <w:rsid w:val="00CF43B3"/>
    <w:rsid w:val="00CF4E69"/>
    <w:rsid w:val="00CF5A38"/>
    <w:rsid w:val="00CF6735"/>
    <w:rsid w:val="00D03DD7"/>
    <w:rsid w:val="00D03F10"/>
    <w:rsid w:val="00D11845"/>
    <w:rsid w:val="00D132ED"/>
    <w:rsid w:val="00D163A0"/>
    <w:rsid w:val="00D222AD"/>
    <w:rsid w:val="00D31E9C"/>
    <w:rsid w:val="00D33544"/>
    <w:rsid w:val="00D33C51"/>
    <w:rsid w:val="00D34734"/>
    <w:rsid w:val="00D36301"/>
    <w:rsid w:val="00D3748F"/>
    <w:rsid w:val="00D4626D"/>
    <w:rsid w:val="00D54CCE"/>
    <w:rsid w:val="00D553E4"/>
    <w:rsid w:val="00D63CC1"/>
    <w:rsid w:val="00D71C11"/>
    <w:rsid w:val="00D73B87"/>
    <w:rsid w:val="00D748D4"/>
    <w:rsid w:val="00D762ED"/>
    <w:rsid w:val="00D839C8"/>
    <w:rsid w:val="00D85572"/>
    <w:rsid w:val="00D95876"/>
    <w:rsid w:val="00DA62D1"/>
    <w:rsid w:val="00DA6D14"/>
    <w:rsid w:val="00DA7427"/>
    <w:rsid w:val="00DA796B"/>
    <w:rsid w:val="00DB22EB"/>
    <w:rsid w:val="00DB410B"/>
    <w:rsid w:val="00DB7D1B"/>
    <w:rsid w:val="00DC7B0C"/>
    <w:rsid w:val="00DD0180"/>
    <w:rsid w:val="00DD1F9B"/>
    <w:rsid w:val="00DD35B0"/>
    <w:rsid w:val="00DD568E"/>
    <w:rsid w:val="00DD7A61"/>
    <w:rsid w:val="00DE169E"/>
    <w:rsid w:val="00DE39DB"/>
    <w:rsid w:val="00DE5484"/>
    <w:rsid w:val="00DE62AD"/>
    <w:rsid w:val="00DF237B"/>
    <w:rsid w:val="00DF576F"/>
    <w:rsid w:val="00DF5926"/>
    <w:rsid w:val="00DF648A"/>
    <w:rsid w:val="00E00430"/>
    <w:rsid w:val="00E016D8"/>
    <w:rsid w:val="00E02D58"/>
    <w:rsid w:val="00E042FD"/>
    <w:rsid w:val="00E047BC"/>
    <w:rsid w:val="00E05B37"/>
    <w:rsid w:val="00E36382"/>
    <w:rsid w:val="00E4020A"/>
    <w:rsid w:val="00E44152"/>
    <w:rsid w:val="00E44F1C"/>
    <w:rsid w:val="00E52919"/>
    <w:rsid w:val="00E556BF"/>
    <w:rsid w:val="00E61B43"/>
    <w:rsid w:val="00E62ED1"/>
    <w:rsid w:val="00E6790F"/>
    <w:rsid w:val="00E75AAD"/>
    <w:rsid w:val="00E7678D"/>
    <w:rsid w:val="00E8525B"/>
    <w:rsid w:val="00E855BA"/>
    <w:rsid w:val="00E86AEE"/>
    <w:rsid w:val="00E91B01"/>
    <w:rsid w:val="00E93A46"/>
    <w:rsid w:val="00E94ED1"/>
    <w:rsid w:val="00E958C2"/>
    <w:rsid w:val="00EB502B"/>
    <w:rsid w:val="00EC072D"/>
    <w:rsid w:val="00EC1AE4"/>
    <w:rsid w:val="00EC1DCD"/>
    <w:rsid w:val="00EC424D"/>
    <w:rsid w:val="00ED0D2F"/>
    <w:rsid w:val="00EE1E95"/>
    <w:rsid w:val="00EF0A9E"/>
    <w:rsid w:val="00EF2F55"/>
    <w:rsid w:val="00F00F75"/>
    <w:rsid w:val="00F0230E"/>
    <w:rsid w:val="00F034A4"/>
    <w:rsid w:val="00F034D0"/>
    <w:rsid w:val="00F1357A"/>
    <w:rsid w:val="00F14333"/>
    <w:rsid w:val="00F16F69"/>
    <w:rsid w:val="00F272F0"/>
    <w:rsid w:val="00F27ABE"/>
    <w:rsid w:val="00F36D6B"/>
    <w:rsid w:val="00F40278"/>
    <w:rsid w:val="00F408A6"/>
    <w:rsid w:val="00F42819"/>
    <w:rsid w:val="00F42E6F"/>
    <w:rsid w:val="00F433D9"/>
    <w:rsid w:val="00F50FB9"/>
    <w:rsid w:val="00F513CC"/>
    <w:rsid w:val="00F52041"/>
    <w:rsid w:val="00F6234A"/>
    <w:rsid w:val="00F8027F"/>
    <w:rsid w:val="00F81C38"/>
    <w:rsid w:val="00F85D05"/>
    <w:rsid w:val="00F91E3F"/>
    <w:rsid w:val="00F958B6"/>
    <w:rsid w:val="00F97AAC"/>
    <w:rsid w:val="00FA16C7"/>
    <w:rsid w:val="00FA5922"/>
    <w:rsid w:val="00FA5C22"/>
    <w:rsid w:val="00FB31A9"/>
    <w:rsid w:val="00FB62F0"/>
    <w:rsid w:val="00FB7030"/>
    <w:rsid w:val="00FB7E7E"/>
    <w:rsid w:val="00FC01A1"/>
    <w:rsid w:val="00FC5276"/>
    <w:rsid w:val="00FD4810"/>
    <w:rsid w:val="00FD5174"/>
    <w:rsid w:val="00FD647F"/>
    <w:rsid w:val="00FD7178"/>
    <w:rsid w:val="00FD71AF"/>
    <w:rsid w:val="00FD750F"/>
    <w:rsid w:val="00FE1A33"/>
    <w:rsid w:val="00FE1E1E"/>
    <w:rsid w:val="00FE5CF9"/>
    <w:rsid w:val="00FF03AD"/>
    <w:rsid w:val="00FF36E6"/>
    <w:rsid w:val="00FF53B3"/>
    <w:rsid w:val="185E1F7C"/>
    <w:rsid w:val="1B9F5D17"/>
    <w:rsid w:val="297B5F55"/>
    <w:rsid w:val="2EA54023"/>
    <w:rsid w:val="2F7F63F1"/>
    <w:rsid w:val="33BEC1FE"/>
    <w:rsid w:val="357C1BFA"/>
    <w:rsid w:val="3A7D1C3A"/>
    <w:rsid w:val="3CEF6F8D"/>
    <w:rsid w:val="3D9CBD72"/>
    <w:rsid w:val="3EFC095A"/>
    <w:rsid w:val="3F5FC24C"/>
    <w:rsid w:val="49E3072D"/>
    <w:rsid w:val="4AF9D8EA"/>
    <w:rsid w:val="4DFB6614"/>
    <w:rsid w:val="52FF90A0"/>
    <w:rsid w:val="56FB3F88"/>
    <w:rsid w:val="57C23EB4"/>
    <w:rsid w:val="57FD4984"/>
    <w:rsid w:val="5F5D0A8D"/>
    <w:rsid w:val="5FDA4230"/>
    <w:rsid w:val="62DFFCBB"/>
    <w:rsid w:val="67F75B81"/>
    <w:rsid w:val="6C1B2173"/>
    <w:rsid w:val="6C77233D"/>
    <w:rsid w:val="6C7F4CA0"/>
    <w:rsid w:val="6EB6F3B1"/>
    <w:rsid w:val="6F0739E5"/>
    <w:rsid w:val="71D73070"/>
    <w:rsid w:val="74FE6ACA"/>
    <w:rsid w:val="75DE4CC1"/>
    <w:rsid w:val="75DE6739"/>
    <w:rsid w:val="767688B0"/>
    <w:rsid w:val="76BDEF3F"/>
    <w:rsid w:val="770F7213"/>
    <w:rsid w:val="779FDD9E"/>
    <w:rsid w:val="7B95CA33"/>
    <w:rsid w:val="7F39E378"/>
    <w:rsid w:val="7F3E3315"/>
    <w:rsid w:val="7FDEC8F5"/>
    <w:rsid w:val="7FF500BE"/>
    <w:rsid w:val="7FF8717B"/>
    <w:rsid w:val="9CF7B737"/>
    <w:rsid w:val="A7FDD78F"/>
    <w:rsid w:val="B3D776B9"/>
    <w:rsid w:val="B5E62248"/>
    <w:rsid w:val="BE2F0401"/>
    <w:rsid w:val="BFFFAD0D"/>
    <w:rsid w:val="CBFE8948"/>
    <w:rsid w:val="D7EF3573"/>
    <w:rsid w:val="D7F37435"/>
    <w:rsid w:val="D9A5E9DE"/>
    <w:rsid w:val="D9FAE6D4"/>
    <w:rsid w:val="DED9A232"/>
    <w:rsid w:val="DFDB85FC"/>
    <w:rsid w:val="E79EB802"/>
    <w:rsid w:val="E7EE03B4"/>
    <w:rsid w:val="EAB79190"/>
    <w:rsid w:val="EE1E6BD0"/>
    <w:rsid w:val="EF55683F"/>
    <w:rsid w:val="F5BD310B"/>
    <w:rsid w:val="F7FFB9D7"/>
    <w:rsid w:val="F8B6104D"/>
    <w:rsid w:val="FADB86B4"/>
    <w:rsid w:val="FB7183C5"/>
    <w:rsid w:val="FB750072"/>
    <w:rsid w:val="FBBDD59D"/>
    <w:rsid w:val="FEC5ED91"/>
    <w:rsid w:val="FFFE427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99"/>
    <w:pPr>
      <w:widowControl/>
      <w:spacing w:before="100" w:beforeAutospacing="1" w:after="100" w:afterAutospacing="1"/>
      <w:jc w:val="left"/>
      <w:outlineLvl w:val="1"/>
    </w:pPr>
    <w:rPr>
      <w:rFonts w:ascii="宋体" w:hAnsi="宋体"/>
      <w:b/>
      <w:bCs/>
      <w:kern w:val="0"/>
      <w:sz w:val="36"/>
      <w:szCs w:val="36"/>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无间隔1"/>
    <w:qFormat/>
    <w:uiPriority w:val="99"/>
    <w:pPr>
      <w:widowControl w:val="0"/>
      <w:ind w:firstLine="200" w:firstLineChars="200"/>
      <w:jc w:val="both"/>
    </w:pPr>
    <w:rPr>
      <w:rFonts w:ascii="Times New Roman" w:hAnsi="Times New Roman" w:eastAsia="宋体" w:cs="Times New Roman"/>
      <w:kern w:val="2"/>
      <w:sz w:val="28"/>
      <w:szCs w:val="24"/>
      <w:lang w:val="en-US" w:eastAsia="zh-CN" w:bidi="ar-SA"/>
    </w:rPr>
  </w:style>
  <w:style w:type="paragraph" w:styleId="4">
    <w:name w:val="Body Text"/>
    <w:basedOn w:val="1"/>
    <w:qFormat/>
    <w:uiPriority w:val="0"/>
    <w:rPr>
      <w:rFonts w:eastAsia="仿宋_GB2312"/>
      <w:sz w:val="32"/>
      <w:szCs w:val="20"/>
    </w:rPr>
  </w:style>
  <w:style w:type="paragraph" w:styleId="5">
    <w:name w:val="Body Text Indent"/>
    <w:basedOn w:val="1"/>
    <w:unhideWhenUsed/>
    <w:qFormat/>
    <w:uiPriority w:val="99"/>
    <w:pPr>
      <w:spacing w:after="120"/>
      <w:ind w:left="420" w:leftChars="200"/>
    </w:pPr>
  </w:style>
  <w:style w:type="paragraph" w:styleId="6">
    <w:name w:val="Date"/>
    <w:basedOn w:val="1"/>
    <w:next w:val="1"/>
    <w:qFormat/>
    <w:uiPriority w:val="0"/>
    <w:pPr>
      <w:ind w:left="100" w:leftChars="2500"/>
    </w:pPr>
  </w:style>
  <w:style w:type="paragraph" w:styleId="7">
    <w:name w:val="Balloon Text"/>
    <w:basedOn w:val="1"/>
    <w:semiHidden/>
    <w:qFormat/>
    <w:uiPriority w:val="0"/>
    <w:rPr>
      <w:sz w:val="18"/>
      <w:szCs w:val="18"/>
    </w:rPr>
  </w:style>
  <w:style w:type="paragraph" w:styleId="8">
    <w:name w:val="footer"/>
    <w:basedOn w:val="1"/>
    <w:link w:val="16"/>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paragraph" w:styleId="11">
    <w:name w:val="Body Text First Indent 2"/>
    <w:basedOn w:val="5"/>
    <w:qFormat/>
    <w:uiPriority w:val="0"/>
    <w:pPr>
      <w:ind w:firstLine="420" w:firstLineChars="200"/>
    </w:pPr>
  </w:style>
  <w:style w:type="character" w:styleId="14">
    <w:name w:val="page number"/>
    <w:basedOn w:val="13"/>
    <w:qFormat/>
    <w:uiPriority w:val="0"/>
  </w:style>
  <w:style w:type="character" w:styleId="15">
    <w:name w:val="Hyperlink"/>
    <w:basedOn w:val="13"/>
    <w:qFormat/>
    <w:uiPriority w:val="0"/>
    <w:rPr>
      <w:rFonts w:cs="Times New Roman"/>
      <w:color w:val="0000FF"/>
      <w:u w:val="single"/>
    </w:rPr>
  </w:style>
  <w:style w:type="character" w:customStyle="1" w:styleId="16">
    <w:name w:val=" Char Char"/>
    <w:link w:val="8"/>
    <w:qFormat/>
    <w:uiPriority w:val="0"/>
    <w:rPr>
      <w:rFonts w:eastAsia="宋体"/>
      <w:kern w:val="2"/>
      <w:sz w:val="18"/>
      <w:szCs w:val="18"/>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Corporation</Company>
  <Pages>1</Pages>
  <Words>439</Words>
  <Characters>2506</Characters>
  <Lines>20</Lines>
  <Paragraphs>5</Paragraphs>
  <TotalTime>1</TotalTime>
  <ScaleCrop>false</ScaleCrop>
  <LinksUpToDate>false</LinksUpToDate>
  <CharactersWithSpaces>2940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2019-04-27T14:05:00Z</dcterms:created>
  <dc:creator>lenovo</dc:creator>
  <cp:lastModifiedBy>kylin</cp:lastModifiedBy>
  <cp:lastPrinted>2021-08-30T21:58:00Z</cp:lastPrinted>
  <dcterms:modified xsi:type="dcterms:W3CDTF">2021-09-08T10:26:10Z</dcterms:modified>
  <dc:title>蓟州政办发〔2017〕36号</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