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方正小标宋_GBK" w:eastAsia="方正小标宋_GBK"/>
          <w:b w:val="0"/>
          <w:sz w:val="30"/>
          <w:szCs w:val="30"/>
        </w:rPr>
      </w:pPr>
      <w:bookmarkStart w:id="1" w:name="_GoBack"/>
      <w:bookmarkStart w:id="0" w:name="_Toc24724713"/>
      <w:r>
        <w:rPr>
          <w:rFonts w:hint="eastAsia" w:ascii="方正小标宋_GBK" w:hAnsi="方正小标宋_GBK" w:eastAsia="方正小标宋_GBK"/>
          <w:b w:val="0"/>
          <w:bCs w:val="0"/>
          <w:sz w:val="30"/>
        </w:rPr>
        <w:t>东二营镇</w:t>
      </w:r>
      <w:r>
        <w:rPr>
          <w:rFonts w:hint="eastAsia" w:ascii="方正小标宋_GBK" w:eastAsia="方正小标宋_GBK"/>
          <w:b w:val="0"/>
          <w:sz w:val="30"/>
          <w:szCs w:val="30"/>
        </w:rPr>
        <w:t>社会保险领域基层政务公开标准目录</w:t>
      </w:r>
      <w:bookmarkEnd w:id="1"/>
      <w:bookmarkEnd w:id="0"/>
    </w:p>
    <w:tbl>
      <w:tblPr>
        <w:tblStyle w:val="3"/>
        <w:tblW w:w="1586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
        <w:gridCol w:w="851"/>
        <w:gridCol w:w="1074"/>
        <w:gridCol w:w="3060"/>
        <w:gridCol w:w="2036"/>
        <w:gridCol w:w="1343"/>
        <w:gridCol w:w="1134"/>
        <w:gridCol w:w="2126"/>
        <w:gridCol w:w="992"/>
        <w:gridCol w:w="709"/>
        <w:gridCol w:w="425"/>
        <w:gridCol w:w="992"/>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restart"/>
            <w:vAlign w:val="center"/>
          </w:tcPr>
          <w:p>
            <w:pPr>
              <w:widowControl/>
              <w:jc w:val="center"/>
              <w:rPr>
                <w:rFonts w:ascii="黑体" w:hAnsi="Times New Roman" w:eastAsia="黑体"/>
                <w:color w:val="000000"/>
                <w:kern w:val="0"/>
                <w:sz w:val="22"/>
              </w:rPr>
            </w:pPr>
            <w:r>
              <w:rPr>
                <w:rFonts w:hint="eastAsia" w:ascii="黑体" w:hAnsi="宋体" w:eastAsia="黑体"/>
                <w:color w:val="000000"/>
                <w:kern w:val="0"/>
                <w:sz w:val="22"/>
              </w:rPr>
              <w:t>序号</w:t>
            </w:r>
          </w:p>
        </w:tc>
        <w:tc>
          <w:tcPr>
            <w:tcW w:w="1925"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公开事项</w:t>
            </w:r>
          </w:p>
        </w:tc>
        <w:tc>
          <w:tcPr>
            <w:tcW w:w="3060"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公开内容（要素）</w:t>
            </w:r>
          </w:p>
        </w:tc>
        <w:tc>
          <w:tcPr>
            <w:tcW w:w="2036"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公开依据</w:t>
            </w:r>
          </w:p>
        </w:tc>
        <w:tc>
          <w:tcPr>
            <w:tcW w:w="1343"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公开时限</w:t>
            </w:r>
          </w:p>
        </w:tc>
        <w:tc>
          <w:tcPr>
            <w:tcW w:w="1134" w:type="dxa"/>
            <w:vMerge w:val="restart"/>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主体</w:t>
            </w:r>
          </w:p>
        </w:tc>
        <w:tc>
          <w:tcPr>
            <w:tcW w:w="2126" w:type="dxa"/>
            <w:vMerge w:val="restart"/>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701"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公开对象</w:t>
            </w:r>
          </w:p>
        </w:tc>
        <w:tc>
          <w:tcPr>
            <w:tcW w:w="1417" w:type="dxa"/>
            <w:gridSpan w:val="2"/>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公开方式</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Merge w:val="continue"/>
            <w:vAlign w:val="center"/>
          </w:tcPr>
          <w:p>
            <w:pPr>
              <w:widowControl/>
              <w:jc w:val="left"/>
              <w:rPr>
                <w:rFonts w:ascii="Times New Roman" w:hAnsi="Times New Roman"/>
                <w:color w:val="000000"/>
                <w:kern w:val="0"/>
                <w:sz w:val="15"/>
                <w:szCs w:val="15"/>
              </w:rPr>
            </w:pPr>
          </w:p>
        </w:tc>
        <w:tc>
          <w:tcPr>
            <w:tcW w:w="851"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一级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1074"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二级</w:t>
            </w:r>
          </w:p>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事项</w:t>
            </w:r>
          </w:p>
        </w:tc>
        <w:tc>
          <w:tcPr>
            <w:tcW w:w="3060" w:type="dxa"/>
            <w:vMerge w:val="continue"/>
            <w:vAlign w:val="center"/>
          </w:tcPr>
          <w:p>
            <w:pPr>
              <w:widowControl/>
              <w:rPr>
                <w:rFonts w:ascii="黑体" w:hAnsi="宋体" w:eastAsia="黑体" w:cs="宋体"/>
                <w:color w:val="000000"/>
                <w:kern w:val="0"/>
                <w:sz w:val="22"/>
              </w:rPr>
            </w:pPr>
          </w:p>
        </w:tc>
        <w:tc>
          <w:tcPr>
            <w:tcW w:w="2036" w:type="dxa"/>
            <w:vMerge w:val="continue"/>
            <w:vAlign w:val="center"/>
          </w:tcPr>
          <w:p>
            <w:pPr>
              <w:widowControl/>
              <w:jc w:val="left"/>
              <w:rPr>
                <w:rFonts w:ascii="黑体" w:hAnsi="宋体" w:eastAsia="黑体" w:cs="宋体"/>
                <w:color w:val="000000"/>
                <w:kern w:val="0"/>
                <w:sz w:val="22"/>
              </w:rPr>
            </w:pPr>
          </w:p>
        </w:tc>
        <w:tc>
          <w:tcPr>
            <w:tcW w:w="1343" w:type="dxa"/>
            <w:vMerge w:val="continue"/>
            <w:vAlign w:val="center"/>
          </w:tcPr>
          <w:p>
            <w:pPr>
              <w:widowControl/>
              <w:jc w:val="left"/>
              <w:rPr>
                <w:rFonts w:ascii="黑体" w:hAnsi="宋体" w:eastAsia="黑体" w:cs="宋体"/>
                <w:color w:val="000000"/>
                <w:kern w:val="0"/>
                <w:sz w:val="22"/>
              </w:rPr>
            </w:pPr>
          </w:p>
        </w:tc>
        <w:tc>
          <w:tcPr>
            <w:tcW w:w="1134" w:type="dxa"/>
            <w:vMerge w:val="continue"/>
            <w:vAlign w:val="center"/>
          </w:tcPr>
          <w:p>
            <w:pPr>
              <w:widowControl/>
              <w:jc w:val="left"/>
              <w:rPr>
                <w:rFonts w:ascii="黑体" w:hAnsi="宋体" w:eastAsia="黑体" w:cs="宋体"/>
                <w:color w:val="000000"/>
                <w:kern w:val="0"/>
                <w:sz w:val="22"/>
              </w:rPr>
            </w:pPr>
          </w:p>
        </w:tc>
        <w:tc>
          <w:tcPr>
            <w:tcW w:w="2126" w:type="dxa"/>
            <w:vMerge w:val="continue"/>
            <w:vAlign w:val="center"/>
          </w:tcPr>
          <w:p>
            <w:pPr>
              <w:widowControl/>
              <w:jc w:val="left"/>
              <w:rPr>
                <w:rFonts w:ascii="黑体" w:hAnsi="宋体" w:eastAsia="黑体" w:cs="宋体"/>
                <w:kern w:val="0"/>
                <w:sz w:val="22"/>
              </w:rPr>
            </w:pP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全社会</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特定群众</w:t>
            </w:r>
          </w:p>
        </w:tc>
        <w:tc>
          <w:tcPr>
            <w:tcW w:w="425"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主动</w:t>
            </w:r>
          </w:p>
        </w:tc>
        <w:tc>
          <w:tcPr>
            <w:tcW w:w="992"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依申请公开</w:t>
            </w:r>
          </w:p>
        </w:tc>
        <w:tc>
          <w:tcPr>
            <w:tcW w:w="709" w:type="dxa"/>
            <w:vAlign w:val="center"/>
          </w:tcPr>
          <w:p>
            <w:pPr>
              <w:widowControl/>
              <w:jc w:val="center"/>
              <w:rPr>
                <w:rFonts w:ascii="黑体" w:hAnsi="宋体" w:eastAsia="黑体" w:cs="宋体"/>
                <w:color w:val="000000"/>
                <w:kern w:val="0"/>
                <w:sz w:val="22"/>
              </w:rPr>
            </w:pPr>
            <w:r>
              <w:rPr>
                <w:rFonts w:hint="eastAsia" w:ascii="黑体" w:hAnsi="宋体" w:eastAsia="黑体" w:cs="宋体"/>
                <w:color w:val="000000"/>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工程建设项目办理工伤保险参保登记</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社会保险登记</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职工参保登记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城乡居民养老保险参保登记</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4</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单位（项目）基本信息变更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5</w:t>
            </w:r>
          </w:p>
        </w:tc>
        <w:tc>
          <w:tcPr>
            <w:tcW w:w="851" w:type="dxa"/>
            <w:vMerge w:val="continue"/>
            <w:vAlign w:val="center"/>
          </w:tcPr>
          <w:p>
            <w:pPr>
              <w:jc w:val="left"/>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个人基本信息变更</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6</w:t>
            </w:r>
          </w:p>
        </w:tc>
        <w:tc>
          <w:tcPr>
            <w:tcW w:w="851"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社会保险参保信息维护</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养老保险待遇发放账户维护申请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7</w:t>
            </w:r>
          </w:p>
        </w:tc>
        <w:tc>
          <w:tcPr>
            <w:tcW w:w="851"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缴费人员增减申报</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21"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社会保险缴费申报与变更</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9</w:t>
            </w:r>
          </w:p>
        </w:tc>
        <w:tc>
          <w:tcPr>
            <w:tcW w:w="851" w:type="dxa"/>
            <w:vMerge w:val="continue"/>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社会保险费延缴申请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社会保险费欠费补缴申报</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1</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社会保险参保缴费记录查询</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单位参保证明查询打印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》、《社会保险法》、《社会保险费征缴暂行条例》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6"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个人权益记录查询打印</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3</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职工正常退休(职)申请</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4</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城乡居民养老保险待遇申领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9"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1</w:t>
            </w:r>
            <w:r>
              <w:rPr>
                <w:rFonts w:hint="eastAsia" w:ascii="仿宋_GB2312" w:hAnsi="宋体" w:eastAsia="仿宋_GB2312"/>
                <w:color w:val="000000"/>
                <w:sz w:val="18"/>
                <w:szCs w:val="18"/>
              </w:rPr>
              <w:t>5</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暂停养老保险待遇申请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80"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恢复养老保险待遇申请</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35"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个人账户一次性待遇申领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p>
            <w:pPr>
              <w:rPr>
                <w:rFonts w:ascii="仿宋_GB2312" w:hAnsi="宋体" w:eastAsia="仿宋_GB2312"/>
                <w:color w:val="000000"/>
                <w:sz w:val="18"/>
                <w:szCs w:val="18"/>
              </w:rPr>
            </w:pP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p>
            <w:pPr>
              <w:rPr>
                <w:rFonts w:ascii="仿宋_GB2312" w:hAnsi="宋体" w:eastAsia="仿宋_GB2312"/>
                <w:color w:val="000000"/>
                <w:sz w:val="18"/>
                <w:szCs w:val="18"/>
              </w:rPr>
            </w:pP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7"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19</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居民养老保险注销登记</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《信息公开条例》、《社会保险法》、《劳动保险条例》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0</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遗属待遇申领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1</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病残津贴申领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2</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》、《社会保险法》、《国务院办公厅关于转发人力资源社会保障部财政部城镇企业职工基本养老保险关系转移接续暂行办法的通知》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45" w:hRule="atLeast"/>
        </w:trPr>
        <w:tc>
          <w:tcPr>
            <w:tcW w:w="415" w:type="dxa"/>
            <w:vAlign w:val="center"/>
          </w:tcPr>
          <w:p>
            <w:pPr>
              <w:jc w:val="center"/>
              <w:rPr>
                <w:rFonts w:ascii="仿宋_GB2312" w:hAnsi="宋体" w:eastAsia="仿宋_GB2312"/>
                <w:color w:val="000000"/>
                <w:sz w:val="18"/>
                <w:szCs w:val="18"/>
              </w:rPr>
            </w:pPr>
            <w:r>
              <w:rPr>
                <w:rFonts w:ascii="仿宋_GB2312" w:hAnsi="宋体" w:eastAsia="仿宋_GB2312"/>
                <w:color w:val="000000"/>
                <w:sz w:val="18"/>
                <w:szCs w:val="18"/>
              </w:rPr>
              <w:t>2</w:t>
            </w:r>
            <w:r>
              <w:rPr>
                <w:rFonts w:hint="eastAsia" w:ascii="仿宋_GB2312" w:hAnsi="宋体" w:eastAsia="仿宋_GB2312"/>
                <w:color w:val="000000"/>
                <w:sz w:val="18"/>
                <w:szCs w:val="18"/>
              </w:rPr>
              <w:t>3</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城乡居民基本养老保险关系转移接续申请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》、《社会保险法》、《劳动保险条例》</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24</w:t>
            </w:r>
          </w:p>
        </w:tc>
        <w:tc>
          <w:tcPr>
            <w:tcW w:w="851"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养老保险服务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城镇职工基本养老保险与城乡居民基本养老保险制度衔接申请</w:t>
            </w:r>
          </w:p>
        </w:tc>
        <w:tc>
          <w:tcPr>
            <w:tcW w:w="3060" w:type="dxa"/>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》、《社会保险法》《人力资源社会保障部财政部关于印发＜城乡养老保险制度衔接暂行办法＞的通知》</w:t>
            </w:r>
          </w:p>
        </w:tc>
        <w:tc>
          <w:tcPr>
            <w:tcW w:w="1343"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25</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失业保险金申领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rPr>
                <w:rFonts w:ascii="仿宋_GB2312" w:hAnsi="宋体" w:eastAsia="仿宋_GB2312"/>
                <w:color w:val="000000"/>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26</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丧葬补助金和抚恤金申领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9"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27</w:t>
            </w:r>
          </w:p>
        </w:tc>
        <w:tc>
          <w:tcPr>
            <w:tcW w:w="851" w:type="dxa"/>
            <w:vMerge w:val="restart"/>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失业保险服务</w:t>
            </w:r>
          </w:p>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职业培训补贴申领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》、《社会保险法》、《失业保险条例》</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2"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28</w:t>
            </w:r>
          </w:p>
        </w:tc>
        <w:tc>
          <w:tcPr>
            <w:tcW w:w="851" w:type="dxa"/>
            <w:vMerge w:val="continue"/>
            <w:vAlign w:val="center"/>
          </w:tcPr>
          <w:p>
            <w:pPr>
              <w:rPr>
                <w:rFonts w:ascii="仿宋_GB2312" w:hAnsi="宋体" w:eastAsia="仿宋_GB2312"/>
                <w:color w:val="000000"/>
                <w:sz w:val="18"/>
                <w:szCs w:val="18"/>
              </w:rPr>
            </w:pPr>
          </w:p>
        </w:tc>
        <w:tc>
          <w:tcPr>
            <w:tcW w:w="1074"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职业介绍补贴申领</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34" w:hRule="atLeast"/>
        </w:trPr>
        <w:tc>
          <w:tcPr>
            <w:tcW w:w="41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29</w:t>
            </w:r>
          </w:p>
        </w:tc>
        <w:tc>
          <w:tcPr>
            <w:tcW w:w="851" w:type="dxa"/>
            <w:vMerge w:val="continue"/>
            <w:tcBorders>
              <w:bottom w:val="single" w:color="auto" w:sz="4" w:space="0"/>
            </w:tcBorders>
            <w:vAlign w:val="center"/>
          </w:tcPr>
          <w:p>
            <w:pPr>
              <w:jc w:val="center"/>
              <w:rPr>
                <w:rFonts w:ascii="仿宋_GB2312" w:hAnsi="宋体" w:eastAsia="仿宋_GB2312"/>
                <w:color w:val="000000"/>
                <w:sz w:val="18"/>
                <w:szCs w:val="18"/>
              </w:rPr>
            </w:pPr>
          </w:p>
        </w:tc>
        <w:tc>
          <w:tcPr>
            <w:tcW w:w="1074" w:type="dxa"/>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企业年金方案重要条款变更备案</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30</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p>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社会保障卡申领</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Times New Roman" w:eastAsia="仿宋_GB2312"/>
                <w:sz w:val="18"/>
                <w:szCs w:val="18"/>
              </w:rPr>
            </w:pPr>
            <w:r>
              <w:rPr>
                <w:rFonts w:hint="eastAsia" w:ascii="仿宋_GB2312" w:hAnsi="Times New Roman" w:eastAsia="仿宋_GB2312"/>
                <w:sz w:val="18"/>
                <w:szCs w:val="18"/>
              </w:rPr>
              <w:t>人民政府</w:t>
            </w:r>
          </w:p>
          <w:p>
            <w:pPr>
              <w:jc w:val="center"/>
              <w:rPr>
                <w:rFonts w:ascii="仿宋_GB2312" w:hAnsi="Times New Roman" w:eastAsia="仿宋_GB2312"/>
                <w:sz w:val="18"/>
                <w:szCs w:val="18"/>
              </w:rPr>
            </w:pPr>
          </w:p>
        </w:tc>
        <w:tc>
          <w:tcPr>
            <w:tcW w:w="212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31</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社会保障卡启用（含社会保障卡银行账户激活）</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32</w:t>
            </w:r>
          </w:p>
        </w:tc>
        <w:tc>
          <w:tcPr>
            <w:tcW w:w="851" w:type="dxa"/>
            <w:vMerge w:val="continue"/>
            <w:tcBorders>
              <w:left w:val="single" w:color="auto" w:sz="4" w:space="0"/>
              <w:bottom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社会保障卡应用状态查询</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2"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33</w:t>
            </w:r>
          </w:p>
        </w:tc>
        <w:tc>
          <w:tcPr>
            <w:tcW w:w="851" w:type="dxa"/>
            <w:vMerge w:val="restart"/>
            <w:tcBorders>
              <w:top w:val="single" w:color="auto" w:sz="4" w:space="0"/>
              <w:left w:val="single" w:color="auto" w:sz="4" w:space="0"/>
              <w:righ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社会保障卡服务</w:t>
            </w: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社会保障卡信息变更（非关键信息）</w:t>
            </w:r>
          </w:p>
        </w:tc>
        <w:tc>
          <w:tcPr>
            <w:tcW w:w="3060"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w:t>
            </w:r>
            <w:r>
              <w:rPr>
                <w:rFonts w:hint="default" w:ascii="仿宋_GB2312" w:hAnsi="宋体" w:eastAsia="仿宋_GB2312"/>
                <w:color w:val="000000"/>
                <w:sz w:val="18"/>
                <w:szCs w:val="18"/>
                <w:lang w:val="en-US"/>
              </w:rPr>
              <w:t>中华人民共和国政府信息公开条例</w:t>
            </w:r>
            <w:r>
              <w:rPr>
                <w:rFonts w:hint="eastAsia" w:ascii="仿宋_GB2312" w:hAnsi="宋体" w:eastAsia="仿宋_GB2312"/>
                <w:color w:val="000000"/>
                <w:sz w:val="18"/>
                <w:szCs w:val="18"/>
              </w:rPr>
              <w:t>》、《社会保险法》、《人力资源和社会保障部关于印发“中华人民共和国社会保障卡”管理办法的通知》</w:t>
            </w:r>
          </w:p>
        </w:tc>
        <w:tc>
          <w:tcPr>
            <w:tcW w:w="1343" w:type="dxa"/>
            <w:vMerge w:val="restart"/>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公开事项信息形成或变更之日起20个工作日内公开</w:t>
            </w:r>
          </w:p>
        </w:tc>
        <w:tc>
          <w:tcPr>
            <w:tcW w:w="1134" w:type="dxa"/>
            <w:vMerge w:val="restart"/>
            <w:vAlign w:val="center"/>
          </w:tcPr>
          <w:p>
            <w:pPr>
              <w:jc w:val="center"/>
              <w:rPr>
                <w:rFonts w:ascii="仿宋_GB2312" w:hAnsi="Times New Roman" w:eastAsia="仿宋_GB2312"/>
                <w:sz w:val="18"/>
                <w:szCs w:val="18"/>
              </w:rPr>
            </w:pPr>
            <w:r>
              <w:rPr>
                <w:rFonts w:hint="eastAsia" w:ascii="仿宋_GB2312" w:hAnsi="Times New Roman" w:eastAsia="仿宋_GB2312"/>
                <w:sz w:val="18"/>
                <w:szCs w:val="18"/>
              </w:rPr>
              <w:t>东二营镇</w:t>
            </w:r>
          </w:p>
          <w:p>
            <w:pPr>
              <w:jc w:val="center"/>
              <w:rPr>
                <w:rFonts w:ascii="仿宋_GB2312" w:hAnsi="宋体" w:eastAsia="仿宋_GB2312"/>
                <w:color w:val="000000"/>
                <w:sz w:val="18"/>
                <w:szCs w:val="18"/>
              </w:rPr>
            </w:pPr>
            <w:r>
              <w:rPr>
                <w:rFonts w:hint="eastAsia" w:ascii="仿宋_GB2312" w:hAnsi="Times New Roman" w:eastAsia="仿宋_GB2312"/>
                <w:sz w:val="18"/>
                <w:szCs w:val="18"/>
              </w:rPr>
              <w:t>人民政府</w:t>
            </w:r>
          </w:p>
        </w:tc>
        <w:tc>
          <w:tcPr>
            <w:tcW w:w="2126" w:type="dxa"/>
            <w:vMerge w:val="restart"/>
            <w:vAlign w:val="center"/>
          </w:tcPr>
          <w:p>
            <w:pPr>
              <w:jc w:val="left"/>
              <w:rPr>
                <w:rFonts w:ascii="仿宋_GB2312" w:hAnsi="宋体" w:eastAsia="仿宋_GB2312"/>
                <w:color w:val="000000"/>
                <w:sz w:val="18"/>
                <w:szCs w:val="18"/>
              </w:rPr>
            </w:pPr>
            <w:r>
              <w:rPr>
                <w:rFonts w:hint="eastAsia" w:ascii="仿宋_GB2312" w:hAnsi="宋体" w:eastAsia="仿宋_GB2312"/>
                <w:color w:val="000000"/>
                <w:sz w:val="18"/>
                <w:szCs w:val="18"/>
              </w:rPr>
              <w:t xml:space="preserve">■政府网站   </w:t>
            </w:r>
          </w:p>
          <w:p>
            <w:pPr>
              <w:jc w:val="left"/>
              <w:rPr>
                <w:rFonts w:ascii="仿宋_GB2312" w:hAnsi="宋体" w:eastAsia="仿宋_GB2312"/>
                <w:color w:val="000000"/>
                <w:sz w:val="18"/>
                <w:szCs w:val="18"/>
              </w:rPr>
            </w:pPr>
            <w:r>
              <w:rPr>
                <w:rFonts w:hint="eastAsia" w:ascii="仿宋_GB2312" w:hAnsi="宋体" w:eastAsia="仿宋_GB2312"/>
                <w:color w:val="000000"/>
                <w:sz w:val="18"/>
                <w:szCs w:val="18"/>
              </w:rPr>
              <w:t>■政务服务中心</w:t>
            </w:r>
            <w:r>
              <w:rPr>
                <w:rFonts w:hint="eastAsia" w:ascii="仿宋_GB2312" w:hAnsi="宋体" w:eastAsia="仿宋_GB2312"/>
                <w:color w:val="000000"/>
                <w:sz w:val="18"/>
                <w:szCs w:val="18"/>
              </w:rPr>
              <w:br w:type="textWrapping"/>
            </w:r>
            <w:r>
              <w:rPr>
                <w:rFonts w:hint="eastAsia" w:ascii="仿宋_GB2312" w:hAnsi="宋体" w:eastAsia="仿宋_GB2312"/>
                <w:color w:val="000000"/>
                <w:sz w:val="18"/>
                <w:szCs w:val="18"/>
              </w:rPr>
              <w:t>■基层公共服务平台</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34</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社会保障卡密码修改与重置</w:t>
            </w:r>
          </w:p>
        </w:tc>
        <w:tc>
          <w:tcPr>
            <w:tcW w:w="3060" w:type="dxa"/>
            <w:vMerge w:val="continue"/>
            <w:vAlign w:val="center"/>
          </w:tcPr>
          <w:p>
            <w:pPr>
              <w:jc w:val="left"/>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jc w:val="center"/>
              <w:rPr>
                <w:rFonts w:ascii="仿宋_GB2312" w:hAnsi="宋体" w:eastAsia="仿宋_GB2312"/>
                <w:color w:val="000000"/>
                <w:sz w:val="18"/>
                <w:szCs w:val="18"/>
              </w:rPr>
            </w:pPr>
          </w:p>
        </w:tc>
        <w:tc>
          <w:tcPr>
            <w:tcW w:w="2126" w:type="dxa"/>
            <w:vMerge w:val="continue"/>
            <w:vAlign w:val="center"/>
          </w:tcPr>
          <w:p>
            <w:pPr>
              <w:jc w:val="left"/>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35</w:t>
            </w:r>
          </w:p>
        </w:tc>
        <w:tc>
          <w:tcPr>
            <w:tcW w:w="851" w:type="dxa"/>
            <w:vMerge w:val="continue"/>
            <w:tcBorders>
              <w:left w:val="single" w:color="auto" w:sz="4" w:space="0"/>
              <w:right w:val="single" w:color="auto" w:sz="4" w:space="0"/>
            </w:tcBorders>
            <w:vAlign w:val="center"/>
          </w:tcPr>
          <w:p>
            <w:pPr>
              <w:jc w:val="cente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社会保障卡挂失与解挂</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36</w:t>
            </w:r>
          </w:p>
        </w:tc>
        <w:tc>
          <w:tcPr>
            <w:tcW w:w="851" w:type="dxa"/>
            <w:vMerge w:val="continue"/>
            <w:tcBorders>
              <w:left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社会保障卡补换、换领、换发</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4" w:hRule="atLeast"/>
        </w:trPr>
        <w:tc>
          <w:tcPr>
            <w:tcW w:w="415" w:type="dxa"/>
            <w:tcBorders>
              <w:right w:val="single" w:color="auto" w:sz="4" w:space="0"/>
            </w:tcBorders>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37</w:t>
            </w:r>
          </w:p>
        </w:tc>
        <w:tc>
          <w:tcPr>
            <w:tcW w:w="851" w:type="dxa"/>
            <w:vMerge w:val="continue"/>
            <w:tcBorders>
              <w:left w:val="single" w:color="auto" w:sz="4" w:space="0"/>
              <w:bottom w:val="single" w:color="auto" w:sz="4" w:space="0"/>
              <w:right w:val="single" w:color="auto" w:sz="4" w:space="0"/>
            </w:tcBorders>
            <w:vAlign w:val="center"/>
          </w:tcPr>
          <w:p>
            <w:pPr>
              <w:rPr>
                <w:rFonts w:ascii="仿宋_GB2312" w:hAnsi="宋体" w:eastAsia="仿宋_GB2312"/>
                <w:color w:val="000000"/>
                <w:sz w:val="18"/>
                <w:szCs w:val="18"/>
              </w:rPr>
            </w:pPr>
          </w:p>
        </w:tc>
        <w:tc>
          <w:tcPr>
            <w:tcW w:w="1074" w:type="dxa"/>
            <w:tcBorders>
              <w:left w:val="single" w:color="auto" w:sz="4" w:space="0"/>
            </w:tcBorders>
            <w:vAlign w:val="center"/>
          </w:tcPr>
          <w:p>
            <w:pPr>
              <w:rPr>
                <w:rFonts w:ascii="仿宋_GB2312" w:hAnsi="宋体" w:eastAsia="仿宋_GB2312"/>
                <w:color w:val="000000"/>
                <w:sz w:val="18"/>
                <w:szCs w:val="18"/>
              </w:rPr>
            </w:pPr>
            <w:r>
              <w:rPr>
                <w:rFonts w:hint="eastAsia" w:ascii="仿宋_GB2312" w:hAnsi="宋体" w:eastAsia="仿宋_GB2312"/>
                <w:color w:val="000000"/>
                <w:sz w:val="18"/>
                <w:szCs w:val="18"/>
              </w:rPr>
              <w:t>社会保障卡注销</w:t>
            </w:r>
          </w:p>
        </w:tc>
        <w:tc>
          <w:tcPr>
            <w:tcW w:w="3060" w:type="dxa"/>
            <w:vMerge w:val="continue"/>
            <w:vAlign w:val="center"/>
          </w:tcPr>
          <w:p>
            <w:pPr>
              <w:rPr>
                <w:rFonts w:ascii="仿宋_GB2312" w:hAnsi="宋体" w:eastAsia="仿宋_GB2312"/>
                <w:color w:val="000000"/>
                <w:sz w:val="18"/>
                <w:szCs w:val="18"/>
              </w:rPr>
            </w:pPr>
          </w:p>
        </w:tc>
        <w:tc>
          <w:tcPr>
            <w:tcW w:w="2036" w:type="dxa"/>
            <w:vMerge w:val="continue"/>
            <w:vAlign w:val="center"/>
          </w:tcPr>
          <w:p>
            <w:pPr>
              <w:rPr>
                <w:rFonts w:ascii="仿宋_GB2312" w:hAnsi="宋体" w:eastAsia="仿宋_GB2312"/>
                <w:color w:val="000000"/>
                <w:sz w:val="18"/>
                <w:szCs w:val="18"/>
              </w:rPr>
            </w:pPr>
          </w:p>
        </w:tc>
        <w:tc>
          <w:tcPr>
            <w:tcW w:w="1343" w:type="dxa"/>
            <w:vMerge w:val="continue"/>
            <w:vAlign w:val="center"/>
          </w:tcPr>
          <w:p>
            <w:pPr>
              <w:rPr>
                <w:rFonts w:ascii="仿宋_GB2312" w:hAnsi="宋体" w:eastAsia="仿宋_GB2312"/>
                <w:color w:val="000000"/>
                <w:sz w:val="18"/>
                <w:szCs w:val="18"/>
              </w:rPr>
            </w:pPr>
          </w:p>
        </w:tc>
        <w:tc>
          <w:tcPr>
            <w:tcW w:w="1134" w:type="dxa"/>
            <w:vMerge w:val="continue"/>
            <w:vAlign w:val="center"/>
          </w:tcPr>
          <w:p>
            <w:pPr>
              <w:rPr>
                <w:rFonts w:ascii="仿宋_GB2312" w:hAnsi="宋体" w:eastAsia="仿宋_GB2312"/>
                <w:color w:val="000000"/>
                <w:sz w:val="18"/>
                <w:szCs w:val="18"/>
              </w:rPr>
            </w:pPr>
          </w:p>
        </w:tc>
        <w:tc>
          <w:tcPr>
            <w:tcW w:w="2126" w:type="dxa"/>
            <w:vMerge w:val="continue"/>
            <w:vAlign w:val="center"/>
          </w:tcPr>
          <w:p>
            <w:pPr>
              <w:rPr>
                <w:rFonts w:ascii="仿宋_GB2312" w:hAnsi="宋体" w:eastAsia="仿宋_GB2312"/>
                <w:color w:val="000000"/>
                <w:sz w:val="18"/>
                <w:szCs w:val="18"/>
              </w:rPr>
            </w:pP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425"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c>
          <w:tcPr>
            <w:tcW w:w="992"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　</w:t>
            </w:r>
          </w:p>
        </w:tc>
        <w:tc>
          <w:tcPr>
            <w:tcW w:w="709" w:type="dxa"/>
            <w:vAlign w:val="center"/>
          </w:tcPr>
          <w:p>
            <w:pPr>
              <w:jc w:val="center"/>
              <w:rPr>
                <w:rFonts w:ascii="仿宋_GB2312" w:hAnsi="宋体" w:eastAsia="仿宋_GB2312"/>
                <w:color w:val="000000"/>
                <w:sz w:val="18"/>
                <w:szCs w:val="18"/>
              </w:rPr>
            </w:pPr>
            <w:r>
              <w:rPr>
                <w:rFonts w:hint="eastAsia" w:ascii="仿宋_GB2312" w:hAnsi="宋体" w:eastAsia="仿宋_GB2312"/>
                <w:color w:val="000000"/>
                <w:sz w:val="18"/>
                <w:szCs w:val="18"/>
              </w:rPr>
              <w:t>√</w:t>
            </w:r>
          </w:p>
        </w:tc>
      </w:tr>
    </w:tbl>
    <w:p>
      <w:pPr>
        <w:spacing w:line="20" w:lineRule="exact"/>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E63D8E"/>
    <w:rsid w:val="000257C4"/>
    <w:rsid w:val="0014366F"/>
    <w:rsid w:val="00296541"/>
    <w:rsid w:val="0040544C"/>
    <w:rsid w:val="00492C92"/>
    <w:rsid w:val="00554B98"/>
    <w:rsid w:val="005D3304"/>
    <w:rsid w:val="0065026F"/>
    <w:rsid w:val="006F6C10"/>
    <w:rsid w:val="007A356F"/>
    <w:rsid w:val="008E788E"/>
    <w:rsid w:val="00923A73"/>
    <w:rsid w:val="009D6B6C"/>
    <w:rsid w:val="00A4461A"/>
    <w:rsid w:val="00A76C7A"/>
    <w:rsid w:val="00AA5456"/>
    <w:rsid w:val="00AE4EF3"/>
    <w:rsid w:val="00AF62C4"/>
    <w:rsid w:val="00B361BA"/>
    <w:rsid w:val="00C65FC7"/>
    <w:rsid w:val="00C8609C"/>
    <w:rsid w:val="00D37236"/>
    <w:rsid w:val="00D91D35"/>
    <w:rsid w:val="00DB6071"/>
    <w:rsid w:val="00DC1356"/>
    <w:rsid w:val="00E82D84"/>
    <w:rsid w:val="00FD1328"/>
    <w:rsid w:val="081D60C2"/>
    <w:rsid w:val="081F261B"/>
    <w:rsid w:val="12E63D8E"/>
    <w:rsid w:val="16175FCF"/>
    <w:rsid w:val="1D0F12CA"/>
    <w:rsid w:val="207A1F0D"/>
    <w:rsid w:val="20E73F55"/>
    <w:rsid w:val="27840EED"/>
    <w:rsid w:val="34182450"/>
    <w:rsid w:val="365404CA"/>
    <w:rsid w:val="36953BFA"/>
    <w:rsid w:val="438D75B2"/>
    <w:rsid w:val="46C57D1E"/>
    <w:rsid w:val="4FFF4065"/>
    <w:rsid w:val="5774A9B6"/>
    <w:rsid w:val="5AEE6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619</Words>
  <Characters>3531</Characters>
  <Lines>29</Lines>
  <Paragraphs>8</Paragraphs>
  <TotalTime>23</TotalTime>
  <ScaleCrop>false</ScaleCrop>
  <LinksUpToDate>false</LinksUpToDate>
  <CharactersWithSpaces>4142</CharactersWithSpaces>
  <Application>WPS Office_11.8.2.1130_F1E327BC-269C-435d-A152-05C5408002CA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2020-10-23T11:10:00Z</dcterms:created>
  <dc:creator>弗拉基米罗维奇</dc:creator>
  <cp:lastModifiedBy>kylin</cp:lastModifiedBy>
  <cp:lastPrinted>2020-10-23T11:11:00Z</cp:lastPrinted>
  <dcterms:modified xsi:type="dcterms:W3CDTF">2024-12-04T16:00:57Z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2052-11.8.2.1130</vt:lpwstr>
  </property>
  <property fmtid="{D5CDD505-2E9C-101B-9397-08002B2CF9AE}" pid="3" name="ICV">
    <vt:lpwstr>95215C3DEE67F676390C506746215F68</vt:lpwstr>
  </property>
</Properties>
</file>