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东施古镇安全生产领域基层政务公开标准目录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、《突发事件应对法》、《关于全面加强政务公开工作的意见》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2D19A1"/>
    <w:rsid w:val="0030402B"/>
    <w:rsid w:val="00321DAD"/>
    <w:rsid w:val="003637FC"/>
    <w:rsid w:val="00363A62"/>
    <w:rsid w:val="003A3B06"/>
    <w:rsid w:val="003B1F4A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6C3E42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6E9C3CA1"/>
    <w:rsid w:val="717E70D0"/>
    <w:rsid w:val="721142A4"/>
    <w:rsid w:val="BEFB1927"/>
    <w:rsid w:val="F7EBB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177</Words>
  <Characters>1013</Characters>
  <Lines>8</Lines>
  <Paragraphs>2</Paragraphs>
  <TotalTime>0</TotalTime>
  <ScaleCrop>false</ScaleCrop>
  <LinksUpToDate>false</LinksUpToDate>
  <CharactersWithSpaces>1188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2020-12-07T01:18:00Z</dcterms:created>
  <dc:creator>lenovo</dc:creator>
  <cp:lastModifiedBy>kylin</cp:lastModifiedBy>
  <cp:lastPrinted>2020-06-24T22:50:00Z</cp:lastPrinted>
  <dcterms:modified xsi:type="dcterms:W3CDTF">2024-12-05T16:04:33Z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4A3D55A465158B847E5E51676087A8F7</vt:lpwstr>
  </property>
</Properties>
</file>