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eastAsia="方正小标宋_GBK"/>
          <w:b w:val="0"/>
          <w:sz w:val="30"/>
          <w:szCs w:val="30"/>
        </w:rPr>
      </w:pPr>
      <w:bookmarkStart w:id="0" w:name="_Toc24724713"/>
      <w:r>
        <w:rPr>
          <w:rFonts w:hint="eastAsia" w:ascii="方正小标宋_GBK" w:hAnsi="方正小标宋_GBK" w:eastAsia="方正小标宋_GBK"/>
          <w:b w:val="0"/>
          <w:bCs w:val="0"/>
          <w:sz w:val="30"/>
        </w:rPr>
        <w:t>罗庄子镇</w:t>
      </w:r>
      <w:r>
        <w:rPr>
          <w:rFonts w:hint="eastAsia" w:ascii="方正小标宋_GBK" w:eastAsia="方正小标宋_GBK"/>
          <w:b w:val="0"/>
          <w:sz w:val="30"/>
          <w:szCs w:val="30"/>
        </w:rPr>
        <w:t>社会保险领域基层政务公开标准目录</w:t>
      </w:r>
      <w:bookmarkEnd w:id="0"/>
    </w:p>
    <w:tbl>
      <w:tblPr>
        <w:tblStyle w:val="3"/>
        <w:tblW w:w="1586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851"/>
        <w:gridCol w:w="1074"/>
        <w:gridCol w:w="3060"/>
        <w:gridCol w:w="2036"/>
        <w:gridCol w:w="1343"/>
        <w:gridCol w:w="1134"/>
        <w:gridCol w:w="2126"/>
        <w:gridCol w:w="992"/>
        <w:gridCol w:w="709"/>
        <w:gridCol w:w="425"/>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92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212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7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1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widowControl/>
              <w:jc w:val="left"/>
              <w:rPr>
                <w:rFonts w:ascii="Times New Roman" w:hAnsi="Times New Roman"/>
                <w:color w:val="000000"/>
                <w:kern w:val="0"/>
                <w:sz w:val="15"/>
                <w:szCs w:val="15"/>
              </w:rPr>
            </w:pP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0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343"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kern w:val="0"/>
                <w:sz w:val="22"/>
              </w:rPr>
            </w:pPr>
          </w:p>
        </w:tc>
        <w:tc>
          <w:tcPr>
            <w:tcW w:w="99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9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bookmarkStart w:id="1" w:name="_GoBack"/>
            <w:r>
              <w:rPr>
                <w:rFonts w:hint="eastAsia" w:ascii="仿宋_GB2312" w:hAnsi="宋体" w:eastAsia="仿宋_GB2312"/>
                <w:color w:val="000000"/>
                <w:sz w:val="18"/>
                <w:szCs w:val="18"/>
              </w:rPr>
              <w:t>政府信息公开条例</w:t>
            </w:r>
            <w:bookmarkEnd w:id="1"/>
            <w:r>
              <w:rPr>
                <w:rFonts w:hint="eastAsia" w:ascii="仿宋_GB2312" w:hAnsi="宋体" w:eastAsia="仿宋_GB2312"/>
                <w:color w:val="000000"/>
                <w:sz w:val="18"/>
                <w:szCs w:val="18"/>
              </w:rPr>
              <w:t>》、《社会保险法》、《社会保险费征缴暂行条例》</w:t>
            </w:r>
          </w:p>
        </w:tc>
        <w:tc>
          <w:tcPr>
            <w:tcW w:w="13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宋体" w:eastAsia="仿宋_GB2312"/>
                <w:color w:val="000000"/>
                <w:sz w:val="18"/>
                <w:szCs w:val="18"/>
              </w:rPr>
            </w:pPr>
            <w:r>
              <w:rPr>
                <w:rFonts w:hint="eastAsia" w:ascii="仿宋_GB2312" w:hAnsi="Times New Roman" w:eastAsia="仿宋_GB2312"/>
                <w:sz w:val="18"/>
                <w:szCs w:val="18"/>
              </w:rPr>
              <w:t>人民政府</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8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宋体" w:eastAsia="仿宋_GB2312"/>
                <w:color w:val="000000"/>
                <w:sz w:val="18"/>
                <w:szCs w:val="18"/>
              </w:rPr>
            </w:pPr>
            <w:r>
              <w:rPr>
                <w:rFonts w:hint="eastAsia" w:ascii="仿宋_GB2312" w:hAnsi="Times New Roman" w:eastAsia="仿宋_GB2312"/>
                <w:sz w:val="18"/>
                <w:szCs w:val="18"/>
              </w:rPr>
              <w:t>人民政府</w:t>
            </w: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85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851" w:type="dxa"/>
            <w:vMerge w:val="continue"/>
            <w:vAlign w:val="center"/>
          </w:tcPr>
          <w:p>
            <w:pPr>
              <w:jc w:val="left"/>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8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pPr>
              <w:rPr>
                <w:rFonts w:ascii="仿宋_GB2312" w:hAnsi="宋体" w:eastAsia="仿宋_GB2312"/>
                <w:color w:val="000000"/>
                <w:sz w:val="18"/>
                <w:szCs w:val="18"/>
              </w:rPr>
            </w:pPr>
          </w:p>
        </w:tc>
        <w:tc>
          <w:tcPr>
            <w:tcW w:w="13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3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85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p>
            <w:pPr>
              <w:rPr>
                <w:rFonts w:ascii="仿宋_GB2312" w:hAnsi="宋体" w:eastAsia="仿宋_GB2312"/>
                <w:color w:val="000000"/>
                <w:sz w:val="18"/>
                <w:szCs w:val="18"/>
              </w:rPr>
            </w:pPr>
          </w:p>
        </w:tc>
        <w:tc>
          <w:tcPr>
            <w:tcW w:w="10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3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宋体" w:eastAsia="仿宋_GB2312"/>
                <w:color w:val="000000"/>
                <w:sz w:val="18"/>
                <w:szCs w:val="18"/>
              </w:rPr>
            </w:pPr>
            <w:r>
              <w:rPr>
                <w:rFonts w:hint="eastAsia" w:ascii="仿宋_GB2312" w:hAnsi="Times New Roman" w:eastAsia="仿宋_GB2312"/>
                <w:sz w:val="18"/>
                <w:szCs w:val="18"/>
              </w:rPr>
              <w:t>人民政府</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pPr>
              <w:rPr>
                <w:rFonts w:ascii="仿宋_GB2312" w:hAnsi="宋体" w:eastAsia="仿宋_GB2312"/>
                <w:color w:val="000000"/>
                <w:sz w:val="18"/>
                <w:szCs w:val="18"/>
              </w:rPr>
            </w:pP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851" w:type="dxa"/>
            <w:vMerge w:val="continue"/>
            <w:vAlign w:val="center"/>
          </w:tcPr>
          <w:p>
            <w:pPr>
              <w:jc w:val="cente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0</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1</w:t>
            </w:r>
          </w:p>
        </w:tc>
        <w:tc>
          <w:tcPr>
            <w:tcW w:w="8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3</w:t>
            </w:r>
          </w:p>
        </w:tc>
        <w:tc>
          <w:tcPr>
            <w:tcW w:w="8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p>
            <w:pPr>
              <w:rPr>
                <w:rFonts w:ascii="仿宋_GB2312" w:hAnsi="宋体" w:eastAsia="仿宋_GB2312"/>
                <w:color w:val="000000"/>
                <w:sz w:val="18"/>
                <w:szCs w:val="18"/>
              </w:rPr>
            </w:pP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4</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5</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8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p>
            <w:pPr>
              <w:rPr>
                <w:rFonts w:ascii="仿宋_GB2312" w:hAnsi="宋体" w:eastAsia="仿宋_GB2312"/>
                <w:color w:val="000000"/>
                <w:sz w:val="18"/>
                <w:szCs w:val="18"/>
              </w:rPr>
            </w:pP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8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r>
              <w:rPr>
                <w:rFonts w:hint="eastAsia" w:ascii="仿宋_GB2312" w:hAnsi="宋体" w:eastAsia="仿宋_GB2312"/>
                <w:color w:val="000000"/>
                <w:sz w:val="18"/>
                <w:szCs w:val="18"/>
              </w:rPr>
              <w:t>0</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r>
              <w:rPr>
                <w:rFonts w:hint="eastAsia" w:ascii="仿宋_GB2312" w:hAnsi="宋体" w:eastAsia="仿宋_GB2312"/>
                <w:color w:val="000000"/>
                <w:sz w:val="18"/>
                <w:szCs w:val="18"/>
              </w:rPr>
              <w:t>1</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r>
              <w:rPr>
                <w:rFonts w:hint="eastAsia" w:ascii="仿宋_GB2312" w:hAnsi="宋体" w:eastAsia="仿宋_GB2312"/>
                <w:color w:val="000000"/>
                <w:sz w:val="18"/>
                <w:szCs w:val="18"/>
              </w:rPr>
              <w:t>2</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》、《社会保险法》、《国务院办公厅关于转发人力资源社会保障部财政部城镇企业职工基本养老保险关系转移接续暂行办法的通知》</w:t>
            </w:r>
          </w:p>
        </w:tc>
        <w:tc>
          <w:tcPr>
            <w:tcW w:w="13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宋体" w:eastAsia="仿宋_GB2312"/>
                <w:color w:val="000000"/>
                <w:sz w:val="18"/>
                <w:szCs w:val="18"/>
              </w:rPr>
            </w:pPr>
            <w:r>
              <w:rPr>
                <w:rFonts w:hint="eastAsia" w:ascii="仿宋_GB2312" w:hAnsi="Times New Roman" w:eastAsia="仿宋_GB2312"/>
                <w:sz w:val="18"/>
                <w:szCs w:val="18"/>
              </w:rPr>
              <w:t>人民政府</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41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r>
              <w:rPr>
                <w:rFonts w:hint="eastAsia" w:ascii="仿宋_GB2312" w:hAnsi="宋体" w:eastAsia="仿宋_GB2312"/>
                <w:color w:val="000000"/>
                <w:sz w:val="18"/>
                <w:szCs w:val="18"/>
              </w:rPr>
              <w:t>3</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tc>
        <w:tc>
          <w:tcPr>
            <w:tcW w:w="13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宋体" w:eastAsia="仿宋_GB2312"/>
                <w:color w:val="000000"/>
                <w:sz w:val="18"/>
                <w:szCs w:val="18"/>
              </w:rPr>
            </w:pPr>
            <w:r>
              <w:rPr>
                <w:rFonts w:hint="eastAsia" w:ascii="仿宋_GB2312" w:hAnsi="Times New Roman" w:eastAsia="仿宋_GB2312"/>
                <w:sz w:val="18"/>
                <w:szCs w:val="18"/>
              </w:rPr>
              <w:t>人民政府</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城镇职工基本养老保险与城乡居民基本养老保险制度衔接申请</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》、《社会保险法》《人力资源社会保障部财政部关于印发＜城乡养老保险制度衔接暂行办法＞的通知》</w:t>
            </w:r>
          </w:p>
        </w:tc>
        <w:tc>
          <w:tcPr>
            <w:tcW w:w="13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8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rPr>
                <w:rFonts w:ascii="仿宋_GB2312" w:hAnsi="宋体" w:eastAsia="仿宋_GB2312"/>
                <w:color w:val="000000"/>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8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0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851" w:type="dxa"/>
            <w:vMerge w:val="continue"/>
            <w:vAlign w:val="center"/>
          </w:tcPr>
          <w:p>
            <w:pPr>
              <w:rPr>
                <w:rFonts w:ascii="仿宋_GB2312" w:hAnsi="宋体" w:eastAsia="仿宋_GB2312"/>
                <w:color w:val="000000"/>
                <w:sz w:val="18"/>
                <w:szCs w:val="18"/>
              </w:rPr>
            </w:pPr>
          </w:p>
        </w:tc>
        <w:tc>
          <w:tcPr>
            <w:tcW w:w="10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trPr>
        <w:tc>
          <w:tcPr>
            <w:tcW w:w="41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851" w:type="dxa"/>
            <w:vMerge w:val="continue"/>
            <w:tcBorders>
              <w:bottom w:val="single" w:color="auto" w:sz="4" w:space="0"/>
            </w:tcBorders>
            <w:vAlign w:val="center"/>
          </w:tcPr>
          <w:p>
            <w:pPr>
              <w:jc w:val="center"/>
              <w:rPr>
                <w:rFonts w:ascii="仿宋_GB2312" w:hAnsi="宋体" w:eastAsia="仿宋_GB2312"/>
                <w:color w:val="000000"/>
                <w:sz w:val="18"/>
                <w:szCs w:val="18"/>
              </w:rPr>
            </w:pPr>
          </w:p>
        </w:tc>
        <w:tc>
          <w:tcPr>
            <w:tcW w:w="10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851" w:type="dxa"/>
            <w:vMerge w:val="restart"/>
            <w:tcBorders>
              <w:top w:val="single" w:color="auto" w:sz="4" w:space="0"/>
              <w:left w:val="single" w:color="auto" w:sz="4" w:space="0"/>
              <w:right w:val="single" w:color="auto" w:sz="4" w:space="0"/>
            </w:tcBorders>
            <w:vAlign w:val="center"/>
          </w:tcPr>
          <w:p>
            <w:pPr>
              <w:rPr>
                <w:rFonts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74" w:type="dxa"/>
            <w:tcBorders>
              <w:lef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Times New Roman" w:eastAsia="仿宋_GB2312"/>
                <w:sz w:val="18"/>
                <w:szCs w:val="18"/>
              </w:rPr>
            </w:pPr>
            <w:r>
              <w:rPr>
                <w:rFonts w:hint="eastAsia" w:ascii="仿宋_GB2312" w:hAnsi="Times New Roman" w:eastAsia="仿宋_GB2312"/>
                <w:sz w:val="18"/>
                <w:szCs w:val="18"/>
              </w:rPr>
              <w:t>人民政府</w:t>
            </w:r>
          </w:p>
          <w:p>
            <w:pPr>
              <w:jc w:val="center"/>
              <w:rPr>
                <w:rFonts w:ascii="仿宋_GB2312" w:hAnsi="Times New Roman" w:eastAsia="仿宋_GB2312"/>
                <w:sz w:val="18"/>
                <w:szCs w:val="18"/>
              </w:rPr>
            </w:pPr>
          </w:p>
        </w:tc>
        <w:tc>
          <w:tcPr>
            <w:tcW w:w="21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851" w:type="dxa"/>
            <w:vMerge w:val="continue"/>
            <w:tcBorders>
              <w:left w:val="single" w:color="auto" w:sz="4" w:space="0"/>
              <w:right w:val="single" w:color="auto" w:sz="4" w:space="0"/>
            </w:tcBorders>
            <w:vAlign w:val="center"/>
          </w:tcPr>
          <w:p>
            <w:pPr>
              <w:jc w:val="center"/>
              <w:rPr>
                <w:rFonts w:ascii="仿宋_GB2312" w:hAnsi="宋体" w:eastAsia="仿宋_GB2312"/>
                <w:color w:val="000000"/>
                <w:sz w:val="18"/>
                <w:szCs w:val="18"/>
              </w:rPr>
            </w:pPr>
          </w:p>
        </w:tc>
        <w:tc>
          <w:tcPr>
            <w:tcW w:w="1074" w:type="dxa"/>
            <w:tcBorders>
              <w:lef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851"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p>
        </w:tc>
        <w:tc>
          <w:tcPr>
            <w:tcW w:w="1074" w:type="dxa"/>
            <w:tcBorders>
              <w:lef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851" w:type="dxa"/>
            <w:vMerge w:val="restart"/>
            <w:tcBorders>
              <w:top w:val="single" w:color="auto" w:sz="4" w:space="0"/>
              <w:left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74" w:type="dxa"/>
            <w:tcBorders>
              <w:lef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34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34" w:type="dxa"/>
            <w:vMerge w:val="restart"/>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罗庄子镇</w:t>
            </w:r>
          </w:p>
          <w:p>
            <w:pPr>
              <w:jc w:val="center"/>
              <w:rPr>
                <w:rFonts w:ascii="仿宋_GB2312" w:hAnsi="宋体" w:eastAsia="仿宋_GB2312"/>
                <w:color w:val="000000"/>
                <w:sz w:val="18"/>
                <w:szCs w:val="18"/>
              </w:rPr>
            </w:pPr>
            <w:r>
              <w:rPr>
                <w:rFonts w:hint="eastAsia" w:ascii="仿宋_GB2312" w:hAnsi="Times New Roman" w:eastAsia="仿宋_GB2312"/>
                <w:sz w:val="18"/>
                <w:szCs w:val="18"/>
              </w:rPr>
              <w:t>人民政府</w:t>
            </w:r>
          </w:p>
        </w:tc>
        <w:tc>
          <w:tcPr>
            <w:tcW w:w="2126"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851" w:type="dxa"/>
            <w:vMerge w:val="continue"/>
            <w:tcBorders>
              <w:left w:val="single" w:color="auto" w:sz="4" w:space="0"/>
              <w:right w:val="single" w:color="auto" w:sz="4" w:space="0"/>
            </w:tcBorders>
            <w:vAlign w:val="center"/>
          </w:tcPr>
          <w:p>
            <w:pPr>
              <w:rPr>
                <w:rFonts w:ascii="仿宋_GB2312" w:hAnsi="宋体" w:eastAsia="仿宋_GB2312"/>
                <w:color w:val="000000"/>
                <w:sz w:val="18"/>
                <w:szCs w:val="18"/>
              </w:rPr>
            </w:pPr>
          </w:p>
        </w:tc>
        <w:tc>
          <w:tcPr>
            <w:tcW w:w="1074" w:type="dxa"/>
            <w:tcBorders>
              <w:lef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jc w:val="center"/>
              <w:rPr>
                <w:rFonts w:ascii="仿宋_GB2312" w:hAnsi="宋体" w:eastAsia="仿宋_GB2312"/>
                <w:color w:val="000000"/>
                <w:sz w:val="18"/>
                <w:szCs w:val="18"/>
              </w:rPr>
            </w:pPr>
          </w:p>
        </w:tc>
        <w:tc>
          <w:tcPr>
            <w:tcW w:w="2126" w:type="dxa"/>
            <w:vMerge w:val="continue"/>
            <w:vAlign w:val="center"/>
          </w:tcPr>
          <w:p>
            <w:pPr>
              <w:jc w:val="left"/>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851" w:type="dxa"/>
            <w:vMerge w:val="continue"/>
            <w:tcBorders>
              <w:left w:val="single" w:color="auto" w:sz="4" w:space="0"/>
              <w:right w:val="single" w:color="auto" w:sz="4" w:space="0"/>
            </w:tcBorders>
            <w:vAlign w:val="center"/>
          </w:tcPr>
          <w:p>
            <w:pPr>
              <w:jc w:val="center"/>
              <w:rPr>
                <w:rFonts w:ascii="仿宋_GB2312" w:hAnsi="宋体" w:eastAsia="仿宋_GB2312"/>
                <w:color w:val="000000"/>
                <w:sz w:val="18"/>
                <w:szCs w:val="18"/>
              </w:rPr>
            </w:pPr>
          </w:p>
        </w:tc>
        <w:tc>
          <w:tcPr>
            <w:tcW w:w="1074" w:type="dxa"/>
            <w:tcBorders>
              <w:lef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851" w:type="dxa"/>
            <w:vMerge w:val="continue"/>
            <w:tcBorders>
              <w:left w:val="single" w:color="auto" w:sz="4" w:space="0"/>
              <w:right w:val="single" w:color="auto" w:sz="4" w:space="0"/>
            </w:tcBorders>
            <w:vAlign w:val="center"/>
          </w:tcPr>
          <w:p>
            <w:pPr>
              <w:rPr>
                <w:rFonts w:ascii="仿宋_GB2312" w:hAnsi="宋体" w:eastAsia="仿宋_GB2312"/>
                <w:color w:val="000000"/>
                <w:sz w:val="18"/>
                <w:szCs w:val="18"/>
              </w:rPr>
            </w:pPr>
          </w:p>
        </w:tc>
        <w:tc>
          <w:tcPr>
            <w:tcW w:w="1074" w:type="dxa"/>
            <w:tcBorders>
              <w:lef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415" w:type="dxa"/>
            <w:tcBorders>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851" w:type="dxa"/>
            <w:vMerge w:val="continue"/>
            <w:tcBorders>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p>
        </w:tc>
        <w:tc>
          <w:tcPr>
            <w:tcW w:w="1074" w:type="dxa"/>
            <w:tcBorders>
              <w:lef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343" w:type="dxa"/>
            <w:vMerge w:val="continue"/>
            <w:vAlign w:val="center"/>
          </w:tcPr>
          <w:p>
            <w:pPr>
              <w:rPr>
                <w:rFonts w:ascii="仿宋_GB2312" w:hAnsi="宋体" w:eastAsia="仿宋_GB2312"/>
                <w:color w:val="000000"/>
                <w:sz w:val="18"/>
                <w:szCs w:val="18"/>
              </w:rPr>
            </w:pPr>
          </w:p>
        </w:tc>
        <w:tc>
          <w:tcPr>
            <w:tcW w:w="1134" w:type="dxa"/>
            <w:vMerge w:val="continue"/>
            <w:vAlign w:val="center"/>
          </w:tcPr>
          <w:p>
            <w:pPr>
              <w:rPr>
                <w:rFonts w:ascii="仿宋_GB2312" w:hAnsi="宋体" w:eastAsia="仿宋_GB2312"/>
                <w:color w:val="000000"/>
                <w:sz w:val="18"/>
                <w:szCs w:val="18"/>
              </w:rPr>
            </w:pPr>
          </w:p>
        </w:tc>
        <w:tc>
          <w:tcPr>
            <w:tcW w:w="2126" w:type="dxa"/>
            <w:vMerge w:val="continue"/>
            <w:vAlign w:val="center"/>
          </w:tcPr>
          <w:p>
            <w:pPr>
              <w:rPr>
                <w:rFonts w:ascii="仿宋_GB2312" w:hAnsi="宋体" w:eastAsia="仿宋_GB2312"/>
                <w:color w:val="000000"/>
                <w:sz w:val="18"/>
                <w:szCs w:val="18"/>
              </w:rPr>
            </w:pP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E63D8E"/>
    <w:rsid w:val="000257C4"/>
    <w:rsid w:val="0014366F"/>
    <w:rsid w:val="00296541"/>
    <w:rsid w:val="002C49BA"/>
    <w:rsid w:val="003B087F"/>
    <w:rsid w:val="0040544C"/>
    <w:rsid w:val="00492C92"/>
    <w:rsid w:val="00554B98"/>
    <w:rsid w:val="005D3304"/>
    <w:rsid w:val="0065026F"/>
    <w:rsid w:val="006F6C10"/>
    <w:rsid w:val="007A356F"/>
    <w:rsid w:val="008E788E"/>
    <w:rsid w:val="009D6B6C"/>
    <w:rsid w:val="00A4461A"/>
    <w:rsid w:val="00AE4EF3"/>
    <w:rsid w:val="00B12CE4"/>
    <w:rsid w:val="00B361BA"/>
    <w:rsid w:val="00C65FC7"/>
    <w:rsid w:val="00C8609C"/>
    <w:rsid w:val="00D37236"/>
    <w:rsid w:val="00D91D35"/>
    <w:rsid w:val="00DB6071"/>
    <w:rsid w:val="00DC1356"/>
    <w:rsid w:val="00E82D84"/>
    <w:rsid w:val="00F83705"/>
    <w:rsid w:val="00FD1328"/>
    <w:rsid w:val="081D60C2"/>
    <w:rsid w:val="081F261B"/>
    <w:rsid w:val="12E63D8E"/>
    <w:rsid w:val="13F2D808"/>
    <w:rsid w:val="16175FCF"/>
    <w:rsid w:val="1D0F12CA"/>
    <w:rsid w:val="207A1F0D"/>
    <w:rsid w:val="20E73F55"/>
    <w:rsid w:val="27840EED"/>
    <w:rsid w:val="34182450"/>
    <w:rsid w:val="365404CA"/>
    <w:rsid w:val="36953BFA"/>
    <w:rsid w:val="438D75B2"/>
    <w:rsid w:val="46C57D1E"/>
    <w:rsid w:val="4FFF4065"/>
    <w:rsid w:val="5AEE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619</Words>
  <Characters>3531</Characters>
  <Lines>29</Lines>
  <Paragraphs>8</Paragraphs>
  <TotalTime>0</TotalTime>
  <ScaleCrop>false</ScaleCrop>
  <LinksUpToDate>false</LinksUpToDate>
  <CharactersWithSpaces>4142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2020-10-23T11:10:00Z</dcterms:created>
  <dc:creator>弗拉基米罗维奇</dc:creator>
  <cp:lastModifiedBy>kylin</cp:lastModifiedBy>
  <cp:lastPrinted>2020-10-23T11:11:00Z</cp:lastPrinted>
  <dcterms:modified xsi:type="dcterms:W3CDTF">2024-12-20T15:21:52Z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