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eastAsia="方正小标宋_GBK"/>
          <w:b w:val="0"/>
          <w:sz w:val="30"/>
          <w:szCs w:val="30"/>
        </w:rPr>
      </w:pPr>
      <w:bookmarkStart w:id="0" w:name="_Toc24724713"/>
      <w:r>
        <w:rPr>
          <w:rFonts w:hint="eastAsia" w:ascii="方正小标宋_GBK" w:hAnsi="方正小标宋_GBK" w:eastAsia="方正小标宋_GBK"/>
          <w:b w:val="0"/>
          <w:bCs w:val="0"/>
          <w:sz w:val="30"/>
        </w:rPr>
        <w:t>下营镇</w:t>
      </w:r>
      <w:r>
        <w:rPr>
          <w:rFonts w:hint="eastAsia" w:ascii="方正小标宋_GBK" w:eastAsia="方正小标宋_GBK"/>
          <w:b w:val="0"/>
          <w:sz w:val="30"/>
          <w:szCs w:val="30"/>
        </w:rPr>
        <w:t>社会保险领域基层政务公开标准目录</w:t>
      </w:r>
      <w:bookmarkEnd w:id="0"/>
    </w:p>
    <w:tbl>
      <w:tblPr>
        <w:tblStyle w:val="3"/>
        <w:tblW w:w="15866" w:type="dxa"/>
        <w:tblInd w:w="-8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
        <w:gridCol w:w="851"/>
        <w:gridCol w:w="1074"/>
        <w:gridCol w:w="3060"/>
        <w:gridCol w:w="2036"/>
        <w:gridCol w:w="1343"/>
        <w:gridCol w:w="1134"/>
        <w:gridCol w:w="2126"/>
        <w:gridCol w:w="992"/>
        <w:gridCol w:w="709"/>
        <w:gridCol w:w="425"/>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Merge w:val="restart"/>
            <w:vAlign w:val="center"/>
          </w:tcPr>
          <w:p>
            <w:pPr>
              <w:widowControl/>
              <w:jc w:val="center"/>
              <w:rPr>
                <w:rFonts w:ascii="黑体" w:hAnsi="Times New Roman" w:eastAsia="黑体"/>
                <w:color w:val="000000"/>
                <w:kern w:val="0"/>
                <w:sz w:val="22"/>
              </w:rPr>
            </w:pPr>
            <w:r>
              <w:rPr>
                <w:rFonts w:hint="eastAsia" w:ascii="黑体" w:hAnsi="宋体" w:eastAsia="黑体"/>
                <w:color w:val="000000"/>
                <w:kern w:val="0"/>
                <w:sz w:val="22"/>
              </w:rPr>
              <w:t>序号</w:t>
            </w:r>
          </w:p>
        </w:tc>
        <w:tc>
          <w:tcPr>
            <w:tcW w:w="1925"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306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036"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bookmarkStart w:id="1" w:name="_GoBack"/>
            <w:bookmarkEnd w:id="1"/>
          </w:p>
        </w:tc>
        <w:tc>
          <w:tcPr>
            <w:tcW w:w="1343"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134"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主体</w:t>
            </w:r>
          </w:p>
        </w:tc>
        <w:tc>
          <w:tcPr>
            <w:tcW w:w="2126"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701"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417"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709"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Merge w:val="continue"/>
            <w:vAlign w:val="center"/>
          </w:tcPr>
          <w:p>
            <w:pPr>
              <w:widowControl/>
              <w:jc w:val="left"/>
              <w:rPr>
                <w:rFonts w:ascii="Times New Roman" w:hAnsi="Times New Roman"/>
                <w:color w:val="000000"/>
                <w:kern w:val="0"/>
                <w:sz w:val="15"/>
                <w:szCs w:val="15"/>
              </w:rPr>
            </w:pPr>
          </w:p>
        </w:tc>
        <w:tc>
          <w:tcPr>
            <w:tcW w:w="851"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事项</w:t>
            </w:r>
          </w:p>
        </w:tc>
        <w:tc>
          <w:tcPr>
            <w:tcW w:w="1074"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事项</w:t>
            </w:r>
          </w:p>
        </w:tc>
        <w:tc>
          <w:tcPr>
            <w:tcW w:w="3060" w:type="dxa"/>
            <w:vMerge w:val="continue"/>
            <w:vAlign w:val="center"/>
          </w:tcPr>
          <w:p>
            <w:pPr>
              <w:widowControl/>
              <w:rPr>
                <w:rFonts w:ascii="黑体" w:hAnsi="宋体" w:eastAsia="黑体" w:cs="宋体"/>
                <w:color w:val="000000"/>
                <w:kern w:val="0"/>
                <w:sz w:val="22"/>
              </w:rPr>
            </w:pPr>
          </w:p>
        </w:tc>
        <w:tc>
          <w:tcPr>
            <w:tcW w:w="2036" w:type="dxa"/>
            <w:vMerge w:val="continue"/>
            <w:vAlign w:val="center"/>
          </w:tcPr>
          <w:p>
            <w:pPr>
              <w:widowControl/>
              <w:jc w:val="left"/>
              <w:rPr>
                <w:rFonts w:ascii="黑体" w:hAnsi="宋体" w:eastAsia="黑体" w:cs="宋体"/>
                <w:color w:val="000000"/>
                <w:kern w:val="0"/>
                <w:sz w:val="22"/>
              </w:rPr>
            </w:pPr>
          </w:p>
        </w:tc>
        <w:tc>
          <w:tcPr>
            <w:tcW w:w="1343" w:type="dxa"/>
            <w:vMerge w:val="continue"/>
            <w:vAlign w:val="center"/>
          </w:tcPr>
          <w:p>
            <w:pPr>
              <w:widowControl/>
              <w:jc w:val="left"/>
              <w:rPr>
                <w:rFonts w:ascii="黑体" w:hAnsi="宋体" w:eastAsia="黑体" w:cs="宋体"/>
                <w:color w:val="000000"/>
                <w:kern w:val="0"/>
                <w:sz w:val="22"/>
              </w:rPr>
            </w:pPr>
          </w:p>
        </w:tc>
        <w:tc>
          <w:tcPr>
            <w:tcW w:w="1134" w:type="dxa"/>
            <w:vMerge w:val="continue"/>
            <w:vAlign w:val="center"/>
          </w:tcPr>
          <w:p>
            <w:pPr>
              <w:widowControl/>
              <w:jc w:val="left"/>
              <w:rPr>
                <w:rFonts w:ascii="黑体" w:hAnsi="宋体" w:eastAsia="黑体" w:cs="宋体"/>
                <w:color w:val="000000"/>
                <w:kern w:val="0"/>
                <w:sz w:val="22"/>
              </w:rPr>
            </w:pPr>
          </w:p>
        </w:tc>
        <w:tc>
          <w:tcPr>
            <w:tcW w:w="2126" w:type="dxa"/>
            <w:vMerge w:val="continue"/>
            <w:vAlign w:val="center"/>
          </w:tcPr>
          <w:p>
            <w:pPr>
              <w:widowControl/>
              <w:jc w:val="left"/>
              <w:rPr>
                <w:rFonts w:ascii="黑体" w:hAnsi="宋体" w:eastAsia="黑体" w:cs="宋体"/>
                <w:kern w:val="0"/>
                <w:sz w:val="22"/>
              </w:rPr>
            </w:pPr>
          </w:p>
        </w:tc>
        <w:tc>
          <w:tcPr>
            <w:tcW w:w="992"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425"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992"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09"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2"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8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社会保险登记</w:t>
            </w:r>
          </w:p>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工程建设项目办理工伤保险参保登记</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、《社会保险法》、《社会保险费征缴暂行条例》</w:t>
            </w:r>
          </w:p>
        </w:tc>
        <w:tc>
          <w:tcPr>
            <w:tcW w:w="134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下营镇</w:t>
            </w:r>
          </w:p>
          <w:p>
            <w:pPr>
              <w:jc w:val="center"/>
              <w:rPr>
                <w:rFonts w:ascii="仿宋_GB2312" w:hAnsi="宋体" w:eastAsia="仿宋_GB2312"/>
                <w:color w:val="000000"/>
                <w:sz w:val="18"/>
                <w:szCs w:val="18"/>
              </w:rPr>
            </w:pPr>
            <w:r>
              <w:rPr>
                <w:rFonts w:hint="eastAsia" w:ascii="仿宋_GB2312" w:hAnsi="Times New Roman" w:eastAsia="仿宋_GB2312"/>
                <w:sz w:val="18"/>
                <w:szCs w:val="18"/>
              </w:rPr>
              <w:t>人民政府</w:t>
            </w:r>
          </w:p>
        </w:tc>
        <w:tc>
          <w:tcPr>
            <w:tcW w:w="212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851"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社会保险登记</w:t>
            </w:r>
          </w:p>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职工参保登记</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、《社会保险法》、《社会保险费征缴暂行条例》</w:t>
            </w: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下营镇</w:t>
            </w:r>
          </w:p>
          <w:p>
            <w:pPr>
              <w:jc w:val="center"/>
              <w:rPr>
                <w:rFonts w:ascii="仿宋_GB2312" w:hAnsi="宋体" w:eastAsia="仿宋_GB2312"/>
                <w:color w:val="000000"/>
                <w:sz w:val="18"/>
                <w:szCs w:val="18"/>
              </w:rPr>
            </w:pPr>
            <w:r>
              <w:rPr>
                <w:rFonts w:hint="eastAsia" w:ascii="仿宋_GB2312" w:hAnsi="Times New Roman" w:eastAsia="仿宋_GB2312"/>
                <w:sz w:val="18"/>
                <w:szCs w:val="18"/>
              </w:rPr>
              <w:t>人民政府</w:t>
            </w: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城乡居民养老保险参保登记</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851"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社会保险参保信息维护</w:t>
            </w:r>
          </w:p>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单位（项目）基本信息变更</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、《社会保险法》、《社会保险费征缴暂行条例》</w:t>
            </w: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下营镇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851" w:type="dxa"/>
            <w:vMerge w:val="continue"/>
            <w:vAlign w:val="center"/>
          </w:tcPr>
          <w:p>
            <w:pPr>
              <w:jc w:val="left"/>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个人基本信息变更</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851"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社会保险参保信息维护</w:t>
            </w: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养老保险待遇发放账户维护申请</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、《社会保险法》、《社会保险费征缴暂行条例》</w:t>
            </w:r>
          </w:p>
          <w:p>
            <w:pPr>
              <w:rPr>
                <w:rFonts w:ascii="仿宋_GB2312" w:hAnsi="宋体" w:eastAsia="仿宋_GB2312"/>
                <w:color w:val="000000"/>
                <w:sz w:val="18"/>
                <w:szCs w:val="18"/>
              </w:rPr>
            </w:pPr>
          </w:p>
        </w:tc>
        <w:tc>
          <w:tcPr>
            <w:tcW w:w="134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ascii="仿宋_GB2312" w:hAnsi="宋体" w:eastAsia="仿宋_GB2312"/>
                <w:color w:val="000000"/>
                <w:sz w:val="18"/>
                <w:szCs w:val="18"/>
              </w:rPr>
            </w:pPr>
          </w:p>
        </w:tc>
        <w:tc>
          <w:tcPr>
            <w:tcW w:w="1134" w:type="dxa"/>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下营镇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2"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851"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社会保险缴费申报</w:t>
            </w:r>
          </w:p>
          <w:p>
            <w:pPr>
              <w:rPr>
                <w:rFonts w:ascii="仿宋_GB2312" w:hAnsi="宋体" w:eastAsia="仿宋_GB2312"/>
                <w:color w:val="000000"/>
                <w:sz w:val="18"/>
                <w:szCs w:val="18"/>
              </w:rPr>
            </w:pPr>
          </w:p>
        </w:tc>
        <w:tc>
          <w:tcPr>
            <w:tcW w:w="107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缴费人员增减申报</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、《社会保险法》、《社会保险费征缴暂行条例》</w:t>
            </w:r>
          </w:p>
        </w:tc>
        <w:tc>
          <w:tcPr>
            <w:tcW w:w="134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下营镇</w:t>
            </w:r>
          </w:p>
          <w:p>
            <w:pPr>
              <w:jc w:val="center"/>
              <w:rPr>
                <w:rFonts w:ascii="仿宋_GB2312" w:hAnsi="宋体" w:eastAsia="仿宋_GB2312"/>
                <w:color w:val="000000"/>
                <w:sz w:val="18"/>
                <w:szCs w:val="18"/>
              </w:rPr>
            </w:pPr>
            <w:r>
              <w:rPr>
                <w:rFonts w:hint="eastAsia" w:ascii="仿宋_GB2312" w:hAnsi="Times New Roman" w:eastAsia="仿宋_GB2312"/>
                <w:sz w:val="18"/>
                <w:szCs w:val="18"/>
              </w:rPr>
              <w:t>人民政府</w:t>
            </w:r>
          </w:p>
        </w:tc>
        <w:tc>
          <w:tcPr>
            <w:tcW w:w="212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1"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8</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社会保险缴费申报与变更</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、《社会保险法》、《社会保险费征缴暂行条例》</w:t>
            </w:r>
          </w:p>
          <w:p>
            <w:pPr>
              <w:rPr>
                <w:rFonts w:ascii="仿宋_GB2312" w:hAnsi="宋体" w:eastAsia="仿宋_GB2312"/>
                <w:color w:val="000000"/>
                <w:sz w:val="18"/>
                <w:szCs w:val="18"/>
              </w:rPr>
            </w:pP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ascii="仿宋_GB2312" w:hAnsi="宋体" w:eastAsia="仿宋_GB2312"/>
                <w:color w:val="000000"/>
                <w:sz w:val="18"/>
                <w:szCs w:val="18"/>
              </w:rPr>
            </w:pP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下营镇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9</w:t>
            </w:r>
          </w:p>
        </w:tc>
        <w:tc>
          <w:tcPr>
            <w:tcW w:w="851" w:type="dxa"/>
            <w:vMerge w:val="continue"/>
            <w:vAlign w:val="center"/>
          </w:tcPr>
          <w:p>
            <w:pPr>
              <w:jc w:val="cente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社会保险费延缴申请</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9" w:hRule="atLeas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0</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社会保险费欠费补缴申报</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5" w:hRule="atLeas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1</w:t>
            </w:r>
          </w:p>
        </w:tc>
        <w:tc>
          <w:tcPr>
            <w:tcW w:w="851"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社会保险参保缴费记录查询</w:t>
            </w: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单位参保证明查询打印</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、《社会保险法》、《社会保险费征缴暂行条例》</w:t>
            </w: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下营镇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6" w:hRule="atLeas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2</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个人权益记录查询打印</w:t>
            </w:r>
          </w:p>
        </w:tc>
        <w:tc>
          <w:tcPr>
            <w:tcW w:w="3060" w:type="dxa"/>
            <w:vMerge w:val="continue"/>
            <w:vAlign w:val="center"/>
          </w:tcPr>
          <w:p>
            <w:pPr>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3</w:t>
            </w:r>
          </w:p>
        </w:tc>
        <w:tc>
          <w:tcPr>
            <w:tcW w:w="851"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职工正常退休(职)申请</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、《社会保险法》、《劳动保险条例》</w:t>
            </w:r>
          </w:p>
          <w:p>
            <w:pPr>
              <w:rPr>
                <w:rFonts w:ascii="仿宋_GB2312" w:hAnsi="宋体" w:eastAsia="仿宋_GB2312"/>
                <w:color w:val="000000"/>
                <w:sz w:val="18"/>
                <w:szCs w:val="18"/>
              </w:rPr>
            </w:pP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ascii="仿宋_GB2312" w:hAnsi="宋体" w:eastAsia="仿宋_GB2312"/>
                <w:color w:val="000000"/>
                <w:sz w:val="18"/>
                <w:szCs w:val="18"/>
              </w:rPr>
            </w:pP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下营镇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4</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城乡居民养老保险待遇申领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9" w:hRule="atLeas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5</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暂停养老保险待遇申请</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16</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恢复养老保险待遇申请</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17</w:t>
            </w:r>
          </w:p>
        </w:tc>
        <w:tc>
          <w:tcPr>
            <w:tcW w:w="851"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个人账户一次性待遇申领</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、《社会保险法》、《劳动保险条例》</w:t>
            </w:r>
          </w:p>
          <w:p>
            <w:pPr>
              <w:rPr>
                <w:rFonts w:ascii="仿宋_GB2312" w:hAnsi="宋体" w:eastAsia="仿宋_GB2312"/>
                <w:color w:val="000000"/>
                <w:sz w:val="18"/>
                <w:szCs w:val="18"/>
              </w:rPr>
            </w:pP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ascii="仿宋_GB2312" w:hAnsi="宋体" w:eastAsia="仿宋_GB2312"/>
                <w:color w:val="000000"/>
                <w:sz w:val="18"/>
                <w:szCs w:val="18"/>
              </w:rPr>
            </w:pP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下营镇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7"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18</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丧葬补助金、抚恤金申领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19</w:t>
            </w:r>
          </w:p>
        </w:tc>
        <w:tc>
          <w:tcPr>
            <w:tcW w:w="851"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居民养老保险注销登记</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《信息公开条例》、《社会保险法》、《劳动保险条例》</w:t>
            </w: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下营镇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w:t>
            </w:r>
            <w:r>
              <w:rPr>
                <w:rFonts w:hint="eastAsia" w:ascii="仿宋_GB2312" w:hAnsi="宋体" w:eastAsia="仿宋_GB2312"/>
                <w:color w:val="000000"/>
                <w:sz w:val="18"/>
                <w:szCs w:val="18"/>
              </w:rPr>
              <w:t>0</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遗属待遇申领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w:t>
            </w:r>
            <w:r>
              <w:rPr>
                <w:rFonts w:hint="eastAsia" w:ascii="仿宋_GB2312" w:hAnsi="宋体" w:eastAsia="仿宋_GB2312"/>
                <w:color w:val="000000"/>
                <w:sz w:val="18"/>
                <w:szCs w:val="18"/>
              </w:rPr>
              <w:t>1</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病残津贴申领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w:t>
            </w:r>
            <w:r>
              <w:rPr>
                <w:rFonts w:hint="eastAsia" w:ascii="仿宋_GB2312" w:hAnsi="宋体" w:eastAsia="仿宋_GB2312"/>
                <w:color w:val="000000"/>
                <w:sz w:val="18"/>
                <w:szCs w:val="18"/>
              </w:rPr>
              <w:t>2</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城镇职工基本养老保险关系转移接续申请</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、《社会保险法》、《国务院办公厅关于转发人力资源社会保障部财政部城镇企业职工基本养老保险关系转移接续暂行办法的通知》</w:t>
            </w:r>
          </w:p>
        </w:tc>
        <w:tc>
          <w:tcPr>
            <w:tcW w:w="134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下营镇</w:t>
            </w:r>
          </w:p>
          <w:p>
            <w:pPr>
              <w:jc w:val="center"/>
              <w:rPr>
                <w:rFonts w:ascii="仿宋_GB2312" w:hAnsi="宋体" w:eastAsia="仿宋_GB2312"/>
                <w:color w:val="000000"/>
                <w:sz w:val="18"/>
                <w:szCs w:val="18"/>
              </w:rPr>
            </w:pPr>
            <w:r>
              <w:rPr>
                <w:rFonts w:hint="eastAsia" w:ascii="仿宋_GB2312" w:hAnsi="Times New Roman" w:eastAsia="仿宋_GB2312"/>
                <w:sz w:val="18"/>
                <w:szCs w:val="18"/>
              </w:rPr>
              <w:t>人民政府</w:t>
            </w:r>
          </w:p>
        </w:tc>
        <w:tc>
          <w:tcPr>
            <w:tcW w:w="212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5" w:hRule="atLeas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w:t>
            </w:r>
            <w:r>
              <w:rPr>
                <w:rFonts w:hint="eastAsia" w:ascii="仿宋_GB2312" w:hAnsi="宋体" w:eastAsia="仿宋_GB2312"/>
                <w:color w:val="000000"/>
                <w:sz w:val="18"/>
                <w:szCs w:val="18"/>
              </w:rPr>
              <w:t>3</w:t>
            </w:r>
          </w:p>
        </w:tc>
        <w:tc>
          <w:tcPr>
            <w:tcW w:w="8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城乡居民基本养老保险关系转移接续申请</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、《社会保险法》、《劳动保险条例》</w:t>
            </w:r>
          </w:p>
        </w:tc>
        <w:tc>
          <w:tcPr>
            <w:tcW w:w="134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下营镇</w:t>
            </w:r>
          </w:p>
          <w:p>
            <w:pPr>
              <w:jc w:val="center"/>
              <w:rPr>
                <w:rFonts w:ascii="仿宋_GB2312" w:hAnsi="宋体" w:eastAsia="仿宋_GB2312"/>
                <w:color w:val="000000"/>
                <w:sz w:val="18"/>
                <w:szCs w:val="18"/>
              </w:rPr>
            </w:pPr>
            <w:r>
              <w:rPr>
                <w:rFonts w:hint="eastAsia" w:ascii="仿宋_GB2312" w:hAnsi="Times New Roman" w:eastAsia="仿宋_GB2312"/>
                <w:sz w:val="18"/>
                <w:szCs w:val="18"/>
              </w:rPr>
              <w:t>人民政府</w:t>
            </w:r>
          </w:p>
        </w:tc>
        <w:tc>
          <w:tcPr>
            <w:tcW w:w="212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24</w:t>
            </w:r>
          </w:p>
        </w:tc>
        <w:tc>
          <w:tcPr>
            <w:tcW w:w="8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城镇职工基本养老保险与城乡居民基本养老保险制度衔接申请</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、《社会保险法》《人力资源社会保障部财政部关于印发＜城乡养老保险制度衔接暂行办法＞的通知》</w:t>
            </w:r>
          </w:p>
        </w:tc>
        <w:tc>
          <w:tcPr>
            <w:tcW w:w="134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下营镇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25</w:t>
            </w:r>
          </w:p>
        </w:tc>
        <w:tc>
          <w:tcPr>
            <w:tcW w:w="851"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失业保险服务</w:t>
            </w: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失业保险金申领</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、《社会保险法》、《失业保险条例》</w:t>
            </w: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下营镇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rPr>
                <w:rFonts w:ascii="仿宋_GB2312" w:hAnsi="宋体" w:eastAsia="仿宋_GB2312"/>
                <w:color w:val="000000"/>
                <w:sz w:val="18"/>
                <w:szCs w:val="18"/>
              </w:rPr>
            </w:pP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26</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丧葬补助金和抚恤金申领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9"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27</w:t>
            </w:r>
          </w:p>
        </w:tc>
        <w:tc>
          <w:tcPr>
            <w:tcW w:w="851"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失业保险服务</w:t>
            </w:r>
          </w:p>
          <w:p>
            <w:pPr>
              <w:rPr>
                <w:rFonts w:ascii="仿宋_GB2312" w:hAnsi="宋体" w:eastAsia="仿宋_GB2312"/>
                <w:color w:val="000000"/>
                <w:sz w:val="18"/>
                <w:szCs w:val="18"/>
              </w:rPr>
            </w:pPr>
          </w:p>
        </w:tc>
        <w:tc>
          <w:tcPr>
            <w:tcW w:w="107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职业培训补贴申领</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、《社会保险法》、《失业保险条例》</w:t>
            </w: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下营镇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28</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职业介绍补贴申领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4"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29</w:t>
            </w:r>
          </w:p>
        </w:tc>
        <w:tc>
          <w:tcPr>
            <w:tcW w:w="851" w:type="dxa"/>
            <w:vMerge w:val="continue"/>
            <w:tcBorders>
              <w:bottom w:val="single" w:color="auto" w:sz="4" w:space="0"/>
            </w:tcBorders>
            <w:vAlign w:val="center"/>
          </w:tcPr>
          <w:p>
            <w:pPr>
              <w:jc w:val="cente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企业年金方案重要条款变更备案</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tcBorders>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30</w:t>
            </w:r>
          </w:p>
        </w:tc>
        <w:tc>
          <w:tcPr>
            <w:tcW w:w="851" w:type="dxa"/>
            <w:vMerge w:val="restart"/>
            <w:tcBorders>
              <w:top w:val="single" w:color="auto" w:sz="4" w:space="0"/>
              <w:left w:val="single" w:color="auto" w:sz="4" w:space="0"/>
              <w:right w:val="single" w:color="auto" w:sz="4" w:space="0"/>
            </w:tcBorders>
            <w:vAlign w:val="center"/>
          </w:tcPr>
          <w:p>
            <w:pPr>
              <w:rPr>
                <w:rFonts w:ascii="仿宋_GB2312" w:hAnsi="宋体" w:eastAsia="仿宋_GB2312"/>
                <w:color w:val="000000"/>
                <w:sz w:val="18"/>
                <w:szCs w:val="18"/>
              </w:rPr>
            </w:pPr>
          </w:p>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社会保障卡服务</w:t>
            </w:r>
          </w:p>
        </w:tc>
        <w:tc>
          <w:tcPr>
            <w:tcW w:w="1074" w:type="dxa"/>
            <w:tcBorders>
              <w:lef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社会保障卡申领</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、《社会保险法》、《人力资源和社会保障部关于印发“中华人民共和国社会保障卡”管理办法的通知》</w:t>
            </w: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下营镇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tcBorders>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31</w:t>
            </w:r>
          </w:p>
        </w:tc>
        <w:tc>
          <w:tcPr>
            <w:tcW w:w="851" w:type="dxa"/>
            <w:vMerge w:val="continue"/>
            <w:tcBorders>
              <w:left w:val="single" w:color="auto" w:sz="4" w:space="0"/>
              <w:right w:val="single" w:color="auto" w:sz="4" w:space="0"/>
            </w:tcBorders>
            <w:vAlign w:val="center"/>
          </w:tcPr>
          <w:p>
            <w:pPr>
              <w:jc w:val="center"/>
              <w:rPr>
                <w:rFonts w:ascii="仿宋_GB2312" w:hAnsi="宋体" w:eastAsia="仿宋_GB2312"/>
                <w:color w:val="000000"/>
                <w:sz w:val="18"/>
                <w:szCs w:val="18"/>
              </w:rPr>
            </w:pPr>
          </w:p>
        </w:tc>
        <w:tc>
          <w:tcPr>
            <w:tcW w:w="1074" w:type="dxa"/>
            <w:tcBorders>
              <w:lef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社会保障卡启用（含社会保障卡银行账户激活）</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tcBorders>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32</w:t>
            </w:r>
          </w:p>
        </w:tc>
        <w:tc>
          <w:tcPr>
            <w:tcW w:w="851"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olor w:val="000000"/>
                <w:sz w:val="18"/>
                <w:szCs w:val="18"/>
              </w:rPr>
            </w:pPr>
          </w:p>
        </w:tc>
        <w:tc>
          <w:tcPr>
            <w:tcW w:w="1074" w:type="dxa"/>
            <w:tcBorders>
              <w:lef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社会保障卡应用状态查询</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2" w:hRule="atLeast"/>
        </w:trPr>
        <w:tc>
          <w:tcPr>
            <w:tcW w:w="415" w:type="dxa"/>
            <w:tcBorders>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33</w:t>
            </w:r>
          </w:p>
        </w:tc>
        <w:tc>
          <w:tcPr>
            <w:tcW w:w="851" w:type="dxa"/>
            <w:vMerge w:val="restart"/>
            <w:tcBorders>
              <w:top w:val="single" w:color="auto" w:sz="4" w:space="0"/>
              <w:left w:val="single" w:color="auto" w:sz="4" w:space="0"/>
              <w:righ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社会保障卡服务</w:t>
            </w:r>
          </w:p>
        </w:tc>
        <w:tc>
          <w:tcPr>
            <w:tcW w:w="1074" w:type="dxa"/>
            <w:tcBorders>
              <w:lef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社会保障卡信息变更（非关键信息）</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、《社会保险法》、《人力资源和社会保障部关于印发“中华人民共和国社会保障卡”管理办法的通知》</w:t>
            </w: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下营镇</w:t>
            </w:r>
          </w:p>
          <w:p>
            <w:pPr>
              <w:jc w:val="center"/>
              <w:rPr>
                <w:rFonts w:ascii="仿宋_GB2312" w:hAnsi="宋体" w:eastAsia="仿宋_GB2312"/>
                <w:color w:val="000000"/>
                <w:sz w:val="18"/>
                <w:szCs w:val="18"/>
              </w:rPr>
            </w:pPr>
            <w:r>
              <w:rPr>
                <w:rFonts w:hint="eastAsia" w:ascii="仿宋_GB2312" w:hAnsi="Times New Roman" w:eastAsia="仿宋_GB2312"/>
                <w:sz w:val="18"/>
                <w:szCs w:val="18"/>
              </w:rPr>
              <w:t>人民政府</w:t>
            </w:r>
          </w:p>
        </w:tc>
        <w:tc>
          <w:tcPr>
            <w:tcW w:w="2126"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jc w:val="lef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415" w:type="dxa"/>
            <w:tcBorders>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34</w:t>
            </w:r>
          </w:p>
        </w:tc>
        <w:tc>
          <w:tcPr>
            <w:tcW w:w="851" w:type="dxa"/>
            <w:vMerge w:val="continue"/>
            <w:tcBorders>
              <w:left w:val="single" w:color="auto" w:sz="4" w:space="0"/>
              <w:right w:val="single" w:color="auto" w:sz="4" w:space="0"/>
            </w:tcBorders>
            <w:vAlign w:val="center"/>
          </w:tcPr>
          <w:p>
            <w:pPr>
              <w:rPr>
                <w:rFonts w:ascii="仿宋_GB2312" w:hAnsi="宋体" w:eastAsia="仿宋_GB2312"/>
                <w:color w:val="000000"/>
                <w:sz w:val="18"/>
                <w:szCs w:val="18"/>
              </w:rPr>
            </w:pPr>
          </w:p>
        </w:tc>
        <w:tc>
          <w:tcPr>
            <w:tcW w:w="1074" w:type="dxa"/>
            <w:tcBorders>
              <w:lef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社会保障卡密码修改与重置</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jc w:val="left"/>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tcBorders>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35</w:t>
            </w:r>
          </w:p>
        </w:tc>
        <w:tc>
          <w:tcPr>
            <w:tcW w:w="851" w:type="dxa"/>
            <w:vMerge w:val="continue"/>
            <w:tcBorders>
              <w:left w:val="single" w:color="auto" w:sz="4" w:space="0"/>
              <w:right w:val="single" w:color="auto" w:sz="4" w:space="0"/>
            </w:tcBorders>
            <w:vAlign w:val="center"/>
          </w:tcPr>
          <w:p>
            <w:pPr>
              <w:jc w:val="center"/>
              <w:rPr>
                <w:rFonts w:ascii="仿宋_GB2312" w:hAnsi="宋体" w:eastAsia="仿宋_GB2312"/>
                <w:color w:val="000000"/>
                <w:sz w:val="18"/>
                <w:szCs w:val="18"/>
              </w:rPr>
            </w:pPr>
          </w:p>
        </w:tc>
        <w:tc>
          <w:tcPr>
            <w:tcW w:w="1074" w:type="dxa"/>
            <w:tcBorders>
              <w:lef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社会保障卡挂失与解挂</w:t>
            </w:r>
          </w:p>
        </w:tc>
        <w:tc>
          <w:tcPr>
            <w:tcW w:w="3060" w:type="dxa"/>
            <w:vMerge w:val="continue"/>
            <w:vAlign w:val="center"/>
          </w:tcPr>
          <w:p>
            <w:pPr>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tcBorders>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36</w:t>
            </w:r>
          </w:p>
        </w:tc>
        <w:tc>
          <w:tcPr>
            <w:tcW w:w="851" w:type="dxa"/>
            <w:vMerge w:val="continue"/>
            <w:tcBorders>
              <w:left w:val="single" w:color="auto" w:sz="4" w:space="0"/>
              <w:right w:val="single" w:color="auto" w:sz="4" w:space="0"/>
            </w:tcBorders>
            <w:vAlign w:val="center"/>
          </w:tcPr>
          <w:p>
            <w:pPr>
              <w:rPr>
                <w:rFonts w:ascii="仿宋_GB2312" w:hAnsi="宋体" w:eastAsia="仿宋_GB2312"/>
                <w:color w:val="000000"/>
                <w:sz w:val="18"/>
                <w:szCs w:val="18"/>
              </w:rPr>
            </w:pPr>
          </w:p>
        </w:tc>
        <w:tc>
          <w:tcPr>
            <w:tcW w:w="1074" w:type="dxa"/>
            <w:tcBorders>
              <w:lef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社会保障卡补换、换领、换发</w:t>
            </w:r>
          </w:p>
        </w:tc>
        <w:tc>
          <w:tcPr>
            <w:tcW w:w="3060" w:type="dxa"/>
            <w:vMerge w:val="continue"/>
            <w:vAlign w:val="center"/>
          </w:tcPr>
          <w:p>
            <w:pPr>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trPr>
        <w:tc>
          <w:tcPr>
            <w:tcW w:w="415" w:type="dxa"/>
            <w:tcBorders>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37</w:t>
            </w:r>
          </w:p>
        </w:tc>
        <w:tc>
          <w:tcPr>
            <w:tcW w:w="851" w:type="dxa"/>
            <w:vMerge w:val="continue"/>
            <w:tcBorders>
              <w:left w:val="single" w:color="auto" w:sz="4" w:space="0"/>
              <w:bottom w:val="single" w:color="auto" w:sz="4" w:space="0"/>
              <w:right w:val="single" w:color="auto" w:sz="4" w:space="0"/>
            </w:tcBorders>
            <w:vAlign w:val="center"/>
          </w:tcPr>
          <w:p>
            <w:pPr>
              <w:rPr>
                <w:rFonts w:ascii="仿宋_GB2312" w:hAnsi="宋体" w:eastAsia="仿宋_GB2312"/>
                <w:color w:val="000000"/>
                <w:sz w:val="18"/>
                <w:szCs w:val="18"/>
              </w:rPr>
            </w:pPr>
          </w:p>
        </w:tc>
        <w:tc>
          <w:tcPr>
            <w:tcW w:w="1074" w:type="dxa"/>
            <w:tcBorders>
              <w:lef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社会保障卡注销</w:t>
            </w:r>
          </w:p>
        </w:tc>
        <w:tc>
          <w:tcPr>
            <w:tcW w:w="3060" w:type="dxa"/>
            <w:vMerge w:val="continue"/>
            <w:vAlign w:val="center"/>
          </w:tcPr>
          <w:p>
            <w:pPr>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spacing w:line="20" w:lineRule="exact"/>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E63D8E"/>
    <w:rsid w:val="000044B5"/>
    <w:rsid w:val="000257C4"/>
    <w:rsid w:val="0010673F"/>
    <w:rsid w:val="0014366F"/>
    <w:rsid w:val="00296541"/>
    <w:rsid w:val="0040544C"/>
    <w:rsid w:val="00492C92"/>
    <w:rsid w:val="00554B98"/>
    <w:rsid w:val="005D3304"/>
    <w:rsid w:val="0065026F"/>
    <w:rsid w:val="006F6C10"/>
    <w:rsid w:val="007A356F"/>
    <w:rsid w:val="008E788E"/>
    <w:rsid w:val="009D6B6C"/>
    <w:rsid w:val="00A32062"/>
    <w:rsid w:val="00A4461A"/>
    <w:rsid w:val="00AE4EF3"/>
    <w:rsid w:val="00B361BA"/>
    <w:rsid w:val="00B94714"/>
    <w:rsid w:val="00C65FC7"/>
    <w:rsid w:val="00C8609C"/>
    <w:rsid w:val="00D37236"/>
    <w:rsid w:val="00D91D35"/>
    <w:rsid w:val="00DB6071"/>
    <w:rsid w:val="00DC1356"/>
    <w:rsid w:val="00E82D84"/>
    <w:rsid w:val="00FD1328"/>
    <w:rsid w:val="081D60C2"/>
    <w:rsid w:val="081F261B"/>
    <w:rsid w:val="12E63D8E"/>
    <w:rsid w:val="16175FCF"/>
    <w:rsid w:val="1D0F12CA"/>
    <w:rsid w:val="207A1F0D"/>
    <w:rsid w:val="20E73F55"/>
    <w:rsid w:val="27840EED"/>
    <w:rsid w:val="34182450"/>
    <w:rsid w:val="365404CA"/>
    <w:rsid w:val="36953BFA"/>
    <w:rsid w:val="438D75B2"/>
    <w:rsid w:val="46C57D1E"/>
    <w:rsid w:val="4FFF4065"/>
    <w:rsid w:val="5AEE6B9B"/>
    <w:rsid w:val="BBEB5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616</Words>
  <Characters>3516</Characters>
  <Lines>29</Lines>
  <Paragraphs>8</Paragraphs>
  <TotalTime>23</TotalTime>
  <ScaleCrop>false</ScaleCrop>
  <LinksUpToDate>false</LinksUpToDate>
  <CharactersWithSpaces>4124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2020-10-23T11:10:00Z</dcterms:created>
  <dc:creator>弗拉基米罗维奇</dc:creator>
  <cp:lastModifiedBy>kylin</cp:lastModifiedBy>
  <cp:lastPrinted>2020-10-23T11:11:00Z</cp:lastPrinted>
  <dcterms:modified xsi:type="dcterms:W3CDTF">2025-01-03T10:52:42Z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