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D4" w:rsidRDefault="004C57D4" w:rsidP="004C57D4">
      <w:pPr>
        <w:spacing w:line="56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t>蓟州区于桥水库汇水流域困难村补贴</w:t>
      </w:r>
    </w:p>
    <w:p w:rsidR="004C57D4" w:rsidRDefault="004C57D4" w:rsidP="004C57D4">
      <w:pPr>
        <w:spacing w:line="560" w:lineRule="exact"/>
        <w:jc w:val="center"/>
        <w:rPr>
          <w:rFonts w:ascii="方正小标宋_GBK" w:eastAsia="方正小标宋_GBK" w:hAnsi="宋体" w:hint="eastAsia"/>
          <w:sz w:val="44"/>
          <w:szCs w:val="44"/>
        </w:rPr>
      </w:pPr>
      <w:r>
        <w:rPr>
          <w:rFonts w:ascii="方正小标宋_GBK" w:eastAsia="方正小标宋_GBK" w:hAnsi="宋体" w:hint="eastAsia"/>
          <w:sz w:val="44"/>
          <w:szCs w:val="44"/>
        </w:rPr>
        <w:t>实施方案（征求意见稿）</w:t>
      </w:r>
    </w:p>
    <w:p w:rsidR="004C57D4" w:rsidRDefault="004C57D4" w:rsidP="004C57D4">
      <w:pPr>
        <w:spacing w:line="560" w:lineRule="exact"/>
        <w:jc w:val="center"/>
        <w:rPr>
          <w:rFonts w:ascii="楷体_GB2312" w:eastAsia="楷体_GB2312" w:hAnsi="宋体"/>
          <w:sz w:val="32"/>
          <w:szCs w:val="32"/>
        </w:rPr>
      </w:pPr>
      <w:r>
        <w:rPr>
          <w:rFonts w:ascii="楷体_GB2312" w:eastAsia="楷体_GB2312" w:hAnsi="宋体" w:hint="eastAsia"/>
          <w:sz w:val="32"/>
          <w:szCs w:val="32"/>
        </w:rPr>
        <w:t>区水务局  区财政局</w:t>
      </w:r>
    </w:p>
    <w:p w:rsidR="004C57D4" w:rsidRDefault="004C57D4" w:rsidP="004C57D4">
      <w:pPr>
        <w:spacing w:line="560" w:lineRule="exact"/>
        <w:ind w:firstLineChars="200" w:firstLine="640"/>
        <w:rPr>
          <w:rFonts w:eastAsia="仿宋_GB2312"/>
          <w:sz w:val="32"/>
          <w:szCs w:val="32"/>
        </w:rPr>
      </w:pPr>
      <w:r>
        <w:rPr>
          <w:rFonts w:eastAsia="仿宋_GB2312"/>
          <w:sz w:val="32"/>
          <w:szCs w:val="32"/>
        </w:rPr>
        <w:t xml:space="preserve"> </w:t>
      </w:r>
    </w:p>
    <w:p w:rsidR="004C57D4" w:rsidRDefault="004C57D4" w:rsidP="004C57D4">
      <w:pPr>
        <w:spacing w:line="560" w:lineRule="exact"/>
        <w:ind w:firstLineChars="200" w:firstLine="640"/>
        <w:rPr>
          <w:rFonts w:eastAsia="仿宋_GB2312" w:hint="eastAsia"/>
          <w:sz w:val="32"/>
          <w:szCs w:val="32"/>
        </w:rPr>
      </w:pPr>
      <w:r>
        <w:rPr>
          <w:rFonts w:eastAsia="仿宋_GB2312" w:hint="eastAsia"/>
          <w:sz w:val="32"/>
          <w:szCs w:val="32"/>
        </w:rPr>
        <w:t>根据于桥水库实际情况，现对《于桥水库汇水流域困难村补助实施方案》进行修订：</w:t>
      </w:r>
    </w:p>
    <w:p w:rsidR="004C57D4" w:rsidRDefault="004C57D4" w:rsidP="004C57D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一、补</w:t>
      </w:r>
      <w:r>
        <w:rPr>
          <w:rFonts w:ascii="黑体" w:eastAsia="黑体" w:hAnsi="黑体"/>
          <w:sz w:val="32"/>
          <w:szCs w:val="32"/>
          <w:lang/>
        </w:rPr>
        <w:t>贴</w:t>
      </w:r>
      <w:r>
        <w:rPr>
          <w:rFonts w:ascii="黑体" w:eastAsia="黑体" w:hAnsi="黑体" w:hint="eastAsia"/>
          <w:sz w:val="32"/>
          <w:szCs w:val="32"/>
        </w:rPr>
        <w:t>范围</w:t>
      </w:r>
    </w:p>
    <w:p w:rsidR="004C57D4" w:rsidRDefault="004C57D4" w:rsidP="004C57D4">
      <w:pPr>
        <w:spacing w:line="560" w:lineRule="exact"/>
        <w:ind w:firstLineChars="200" w:firstLine="640"/>
        <w:rPr>
          <w:rFonts w:eastAsia="仿宋_GB2312" w:hint="eastAsia"/>
          <w:sz w:val="32"/>
          <w:szCs w:val="32"/>
        </w:rPr>
      </w:pPr>
      <w:r>
        <w:rPr>
          <w:rFonts w:eastAsia="仿宋_GB2312" w:hint="eastAsia"/>
          <w:sz w:val="32"/>
          <w:szCs w:val="32"/>
        </w:rPr>
        <w:t>于桥水库汇水流域内人均综合农用地面积（耕地、园地和点下地面积之和）</w:t>
      </w:r>
      <w:r>
        <w:rPr>
          <w:rFonts w:eastAsia="仿宋_GB2312" w:hint="eastAsia"/>
          <w:sz w:val="32"/>
          <w:szCs w:val="32"/>
        </w:rPr>
        <w:t>1</w:t>
      </w:r>
      <w:r>
        <w:rPr>
          <w:rFonts w:eastAsia="仿宋_GB2312" w:hint="eastAsia"/>
          <w:sz w:val="32"/>
          <w:szCs w:val="32"/>
        </w:rPr>
        <w:t>亩以下的村。同时，综合考虑占地村人均失地情况，对因修建水库造成的人均失地低于</w:t>
      </w:r>
      <w:r>
        <w:rPr>
          <w:rFonts w:eastAsia="仿宋_GB2312" w:hint="eastAsia"/>
          <w:sz w:val="32"/>
          <w:szCs w:val="32"/>
        </w:rPr>
        <w:t>0.1</w:t>
      </w:r>
      <w:r>
        <w:rPr>
          <w:rFonts w:eastAsia="仿宋_GB2312" w:hint="eastAsia"/>
          <w:sz w:val="32"/>
          <w:szCs w:val="32"/>
        </w:rPr>
        <w:t>亩的村不予补贴。</w:t>
      </w:r>
    </w:p>
    <w:p w:rsidR="004C57D4" w:rsidRDefault="004C57D4" w:rsidP="004C57D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二、补</w:t>
      </w:r>
      <w:r>
        <w:rPr>
          <w:rFonts w:ascii="黑体" w:eastAsia="黑体" w:hAnsi="黑体"/>
          <w:sz w:val="32"/>
          <w:szCs w:val="32"/>
          <w:lang/>
        </w:rPr>
        <w:t>贴</w:t>
      </w:r>
      <w:r>
        <w:rPr>
          <w:rFonts w:ascii="黑体" w:eastAsia="黑体" w:hAnsi="黑体" w:hint="eastAsia"/>
          <w:sz w:val="32"/>
          <w:szCs w:val="32"/>
        </w:rPr>
        <w:t>标准</w:t>
      </w:r>
    </w:p>
    <w:p w:rsidR="004C57D4" w:rsidRDefault="004C57D4" w:rsidP="004C57D4">
      <w:pPr>
        <w:spacing w:line="560" w:lineRule="exact"/>
        <w:ind w:firstLineChars="200" w:firstLine="640"/>
        <w:rPr>
          <w:rFonts w:eastAsia="仿宋_GB2312" w:hint="eastAsia"/>
          <w:sz w:val="32"/>
          <w:szCs w:val="32"/>
        </w:rPr>
      </w:pPr>
      <w:r>
        <w:rPr>
          <w:rFonts w:eastAsia="仿宋_GB2312" w:hint="eastAsia"/>
          <w:sz w:val="32"/>
          <w:szCs w:val="32"/>
        </w:rPr>
        <w:t>本着“突出重点、统筹安排、公平公正”的原则，对人均综合农用地面积不足</w:t>
      </w:r>
      <w:r>
        <w:rPr>
          <w:rFonts w:eastAsia="仿宋_GB2312" w:hint="eastAsia"/>
          <w:sz w:val="32"/>
          <w:szCs w:val="32"/>
        </w:rPr>
        <w:t>1</w:t>
      </w:r>
      <w:r>
        <w:rPr>
          <w:rFonts w:eastAsia="仿宋_GB2312" w:hint="eastAsia"/>
          <w:sz w:val="32"/>
          <w:szCs w:val="32"/>
        </w:rPr>
        <w:t>亩的村，按不足面积，按照</w:t>
      </w:r>
      <w:r>
        <w:rPr>
          <w:rFonts w:eastAsia="仿宋_GB2312" w:hint="eastAsia"/>
          <w:sz w:val="32"/>
          <w:szCs w:val="32"/>
        </w:rPr>
        <w:t>1100</w:t>
      </w:r>
      <w:r>
        <w:rPr>
          <w:rFonts w:eastAsia="仿宋_GB2312" w:hint="eastAsia"/>
          <w:sz w:val="32"/>
          <w:szCs w:val="32"/>
        </w:rPr>
        <w:t>元</w:t>
      </w:r>
      <w:r>
        <w:rPr>
          <w:rFonts w:eastAsia="仿宋_GB2312" w:hint="eastAsia"/>
          <w:sz w:val="32"/>
          <w:szCs w:val="32"/>
        </w:rPr>
        <w:t>/</w:t>
      </w:r>
      <w:r>
        <w:rPr>
          <w:rFonts w:eastAsia="仿宋_GB2312" w:hint="eastAsia"/>
          <w:sz w:val="32"/>
          <w:szCs w:val="32"/>
        </w:rPr>
        <w:t>亩补贴标准，依据人口数，对相关村予以补贴。</w:t>
      </w:r>
    </w:p>
    <w:p w:rsidR="004C57D4" w:rsidRDefault="004C57D4" w:rsidP="004C57D4">
      <w:pPr>
        <w:numPr>
          <w:ilvl w:val="0"/>
          <w:numId w:val="1"/>
        </w:num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资金来源</w:t>
      </w:r>
    </w:p>
    <w:p w:rsidR="004C57D4" w:rsidRDefault="004C57D4" w:rsidP="004C57D4">
      <w:pPr>
        <w:spacing w:line="560" w:lineRule="exact"/>
        <w:rPr>
          <w:rFonts w:eastAsia="仿宋_GB2312"/>
          <w:sz w:val="32"/>
          <w:szCs w:val="32"/>
        </w:rPr>
      </w:pPr>
      <w:r>
        <w:rPr>
          <w:rFonts w:ascii="黑体" w:eastAsia="黑体" w:hAnsi="黑体" w:hint="eastAsia"/>
          <w:sz w:val="32"/>
          <w:szCs w:val="32"/>
        </w:rPr>
        <w:t xml:space="preserve">    </w:t>
      </w:r>
      <w:r>
        <w:rPr>
          <w:rFonts w:eastAsia="仿宋_GB2312" w:hint="eastAsia"/>
          <w:sz w:val="32"/>
          <w:szCs w:val="32"/>
        </w:rPr>
        <w:t>区财政资金。</w:t>
      </w:r>
    </w:p>
    <w:p w:rsidR="004C57D4" w:rsidRDefault="004C57D4" w:rsidP="004C57D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四、基本情况</w:t>
      </w:r>
    </w:p>
    <w:p w:rsidR="004C57D4" w:rsidRDefault="004C57D4" w:rsidP="004C57D4">
      <w:pPr>
        <w:spacing w:line="560" w:lineRule="exact"/>
        <w:ind w:firstLineChars="200" w:firstLine="640"/>
        <w:rPr>
          <w:rFonts w:eastAsia="仿宋_GB2312"/>
          <w:sz w:val="32"/>
          <w:szCs w:val="32"/>
        </w:rPr>
      </w:pPr>
      <w:r>
        <w:rPr>
          <w:rFonts w:eastAsia="仿宋_GB2312" w:hint="eastAsia"/>
          <w:sz w:val="32"/>
          <w:szCs w:val="32"/>
        </w:rPr>
        <w:t>依据</w:t>
      </w:r>
      <w:r>
        <w:rPr>
          <w:rFonts w:eastAsia="仿宋_GB2312" w:hint="eastAsia"/>
          <w:sz w:val="32"/>
          <w:szCs w:val="32"/>
        </w:rPr>
        <w:t>2016</w:t>
      </w:r>
      <w:r>
        <w:rPr>
          <w:rFonts w:eastAsia="仿宋_GB2312" w:hint="eastAsia"/>
          <w:sz w:val="32"/>
          <w:szCs w:val="32"/>
        </w:rPr>
        <w:t>人口数据及二调土地数据，于桥水库汇水流域内人均综合农用地面积</w:t>
      </w:r>
      <w:r>
        <w:rPr>
          <w:rFonts w:eastAsia="仿宋_GB2312" w:hint="eastAsia"/>
          <w:sz w:val="32"/>
          <w:szCs w:val="32"/>
        </w:rPr>
        <w:t>1</w:t>
      </w:r>
      <w:r>
        <w:rPr>
          <w:rFonts w:eastAsia="仿宋_GB2312" w:hint="eastAsia"/>
          <w:sz w:val="32"/>
          <w:szCs w:val="32"/>
        </w:rPr>
        <w:t>亩以下共有</w:t>
      </w:r>
      <w:r>
        <w:rPr>
          <w:rFonts w:eastAsia="仿宋_GB2312" w:hint="eastAsia"/>
          <w:sz w:val="32"/>
          <w:szCs w:val="32"/>
        </w:rPr>
        <w:t>39</w:t>
      </w:r>
      <w:r>
        <w:rPr>
          <w:rFonts w:eastAsia="仿宋_GB2312" w:hint="eastAsia"/>
          <w:sz w:val="32"/>
          <w:szCs w:val="32"/>
        </w:rPr>
        <w:t>个村。（以后人口、土地变动不再调整）</w:t>
      </w:r>
    </w:p>
    <w:p w:rsidR="004C57D4" w:rsidRDefault="004C57D4" w:rsidP="004C57D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五、补贴对象</w:t>
      </w:r>
    </w:p>
    <w:p w:rsidR="004C57D4" w:rsidRDefault="004C57D4" w:rsidP="004C57D4">
      <w:pPr>
        <w:spacing w:line="560" w:lineRule="exact"/>
        <w:ind w:firstLineChars="200" w:firstLine="640"/>
        <w:rPr>
          <w:rFonts w:eastAsia="仿宋_GB2312" w:hint="eastAsia"/>
          <w:sz w:val="32"/>
          <w:szCs w:val="32"/>
        </w:rPr>
      </w:pPr>
      <w:r>
        <w:rPr>
          <w:rFonts w:eastAsia="仿宋_GB2312" w:hint="eastAsia"/>
          <w:sz w:val="32"/>
          <w:szCs w:val="32"/>
        </w:rPr>
        <w:t>资金补贴对象为符合补贴条件的村委会。</w:t>
      </w:r>
    </w:p>
    <w:p w:rsidR="004C57D4" w:rsidRDefault="004C57D4" w:rsidP="004C57D4">
      <w:pPr>
        <w:spacing w:line="560" w:lineRule="exact"/>
        <w:ind w:firstLineChars="200" w:firstLine="640"/>
        <w:rPr>
          <w:rFonts w:eastAsia="仿宋_GB2312" w:hint="eastAsia"/>
          <w:sz w:val="32"/>
          <w:szCs w:val="32"/>
        </w:rPr>
      </w:pPr>
      <w:r>
        <w:rPr>
          <w:rFonts w:eastAsia="仿宋_GB2312" w:hint="eastAsia"/>
          <w:sz w:val="32"/>
          <w:szCs w:val="32"/>
        </w:rPr>
        <w:lastRenderedPageBreak/>
        <w:t>相关村委会应进一步制定资金分配方案。资金分配方案应包括村民分配资金和村集体提留资金两部分。村集体提留资金原则上掌握如下限额：人口在</w:t>
      </w:r>
      <w:r>
        <w:rPr>
          <w:rFonts w:eastAsia="仿宋_GB2312" w:hint="eastAsia"/>
          <w:sz w:val="32"/>
          <w:szCs w:val="32"/>
        </w:rPr>
        <w:t>1000</w:t>
      </w:r>
      <w:r>
        <w:rPr>
          <w:rFonts w:eastAsia="仿宋_GB2312" w:hint="eastAsia"/>
          <w:sz w:val="32"/>
          <w:szCs w:val="32"/>
        </w:rPr>
        <w:t>人以上的行政村（含</w:t>
      </w:r>
      <w:r>
        <w:rPr>
          <w:rFonts w:eastAsia="仿宋_GB2312" w:hint="eastAsia"/>
          <w:sz w:val="32"/>
          <w:szCs w:val="32"/>
        </w:rPr>
        <w:t>1000</w:t>
      </w:r>
      <w:r>
        <w:rPr>
          <w:rFonts w:eastAsia="仿宋_GB2312" w:hint="eastAsia"/>
          <w:sz w:val="32"/>
          <w:szCs w:val="32"/>
        </w:rPr>
        <w:t>人）不高于</w:t>
      </w:r>
      <w:r>
        <w:rPr>
          <w:rFonts w:eastAsia="仿宋_GB2312" w:hint="eastAsia"/>
          <w:sz w:val="32"/>
          <w:szCs w:val="32"/>
        </w:rPr>
        <w:t>20</w:t>
      </w:r>
      <w:r>
        <w:rPr>
          <w:rFonts w:eastAsia="仿宋_GB2312" w:hint="eastAsia"/>
          <w:sz w:val="32"/>
          <w:szCs w:val="32"/>
        </w:rPr>
        <w:t>万元，人口在</w:t>
      </w:r>
      <w:r>
        <w:rPr>
          <w:rFonts w:eastAsia="仿宋_GB2312" w:hint="eastAsia"/>
          <w:sz w:val="32"/>
          <w:szCs w:val="32"/>
        </w:rPr>
        <w:t>1000</w:t>
      </w:r>
      <w:r>
        <w:rPr>
          <w:rFonts w:eastAsia="仿宋_GB2312" w:hint="eastAsia"/>
          <w:sz w:val="32"/>
          <w:szCs w:val="32"/>
        </w:rPr>
        <w:t>人以下的行政村不高于</w:t>
      </w:r>
      <w:r>
        <w:rPr>
          <w:rFonts w:eastAsia="仿宋_GB2312" w:hint="eastAsia"/>
          <w:sz w:val="32"/>
          <w:szCs w:val="32"/>
        </w:rPr>
        <w:t>15</w:t>
      </w:r>
      <w:r>
        <w:rPr>
          <w:rFonts w:eastAsia="仿宋_GB2312" w:hint="eastAsia"/>
          <w:sz w:val="32"/>
          <w:szCs w:val="32"/>
        </w:rPr>
        <w:t>万元，如已提留林草湿地补贴资金的村委会不再提留本资金。</w:t>
      </w:r>
    </w:p>
    <w:p w:rsidR="004C57D4" w:rsidRDefault="004C57D4" w:rsidP="004C57D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六、发放程序和方式</w:t>
      </w:r>
    </w:p>
    <w:p w:rsidR="004C57D4" w:rsidRDefault="004C57D4" w:rsidP="004C57D4">
      <w:pPr>
        <w:spacing w:line="560" w:lineRule="exact"/>
        <w:ind w:firstLineChars="200" w:firstLine="640"/>
        <w:rPr>
          <w:rFonts w:eastAsia="仿宋_GB2312" w:hint="eastAsia"/>
          <w:sz w:val="32"/>
          <w:szCs w:val="32"/>
        </w:rPr>
      </w:pPr>
      <w:r>
        <w:rPr>
          <w:rFonts w:ascii="楷体_GB2312" w:eastAsia="楷体_GB2312" w:hint="eastAsia"/>
          <w:sz w:val="32"/>
          <w:szCs w:val="32"/>
        </w:rPr>
        <w:t>（一）发放程序</w:t>
      </w:r>
      <w:r>
        <w:rPr>
          <w:rFonts w:eastAsia="仿宋_GB2312" w:hint="eastAsia"/>
          <w:sz w:val="32"/>
          <w:szCs w:val="32"/>
        </w:rPr>
        <w:t>。村委会使用资金前，应制定本村资金分配方案。方案须经村民代表会议或全体村民大会审议通过，经公示无异议后，报属地镇乡人民政府批准并上报区水务局。资金分配方案一经确定，未经属地镇乡人民政府和区水务局同意，不得变动。</w:t>
      </w:r>
    </w:p>
    <w:p w:rsidR="004C57D4" w:rsidRDefault="004C57D4" w:rsidP="004C57D4">
      <w:pPr>
        <w:spacing w:line="560" w:lineRule="exact"/>
        <w:ind w:firstLineChars="200" w:firstLine="640"/>
        <w:rPr>
          <w:rFonts w:eastAsia="仿宋_GB2312" w:hint="eastAsia"/>
          <w:sz w:val="32"/>
          <w:szCs w:val="32"/>
        </w:rPr>
      </w:pPr>
      <w:r>
        <w:rPr>
          <w:rFonts w:ascii="楷体_GB2312" w:eastAsia="楷体_GB2312" w:hint="eastAsia"/>
          <w:sz w:val="32"/>
          <w:szCs w:val="32"/>
        </w:rPr>
        <w:t>（二）发放方式</w:t>
      </w:r>
      <w:r>
        <w:rPr>
          <w:rFonts w:eastAsia="仿宋_GB2312" w:hint="eastAsia"/>
          <w:sz w:val="32"/>
          <w:szCs w:val="32"/>
        </w:rPr>
        <w:t>。</w:t>
      </w:r>
    </w:p>
    <w:p w:rsidR="004C57D4" w:rsidRDefault="004C57D4" w:rsidP="004C57D4">
      <w:pPr>
        <w:spacing w:line="560" w:lineRule="exact"/>
        <w:ind w:firstLineChars="200" w:firstLine="640"/>
        <w:rPr>
          <w:rFonts w:eastAsia="仿宋_GB2312" w:hint="eastAsia"/>
          <w:sz w:val="32"/>
          <w:szCs w:val="32"/>
        </w:rPr>
      </w:pPr>
      <w:r>
        <w:rPr>
          <w:rFonts w:eastAsia="仿宋_GB2312" w:hint="eastAsia"/>
          <w:sz w:val="32"/>
          <w:szCs w:val="32"/>
        </w:rPr>
        <w:t>1</w:t>
      </w:r>
      <w:r>
        <w:rPr>
          <w:rFonts w:eastAsia="仿宋_GB2312" w:hint="eastAsia"/>
          <w:sz w:val="32"/>
          <w:szCs w:val="32"/>
        </w:rPr>
        <w:t>．村民分配资金。区水务局会同区财政局依据各镇乡上报的村资金分配方案，以户为单位，采取“一卡通”的方式，直接将补贴资金发放到有关村民，每年发放一次。</w:t>
      </w:r>
    </w:p>
    <w:p w:rsidR="004C57D4" w:rsidRDefault="004C57D4" w:rsidP="004C57D4">
      <w:pPr>
        <w:spacing w:line="560" w:lineRule="exact"/>
        <w:ind w:firstLineChars="200" w:firstLine="640"/>
        <w:rPr>
          <w:rFonts w:eastAsia="仿宋_GB2312" w:hint="eastAsia"/>
          <w:sz w:val="32"/>
          <w:szCs w:val="32"/>
        </w:rPr>
      </w:pPr>
      <w:r>
        <w:rPr>
          <w:rFonts w:eastAsia="仿宋_GB2312" w:hint="eastAsia"/>
          <w:sz w:val="32"/>
          <w:szCs w:val="32"/>
        </w:rPr>
        <w:t>2</w:t>
      </w:r>
      <w:r>
        <w:rPr>
          <w:rFonts w:eastAsia="仿宋_GB2312" w:hint="eastAsia"/>
          <w:sz w:val="32"/>
          <w:szCs w:val="32"/>
        </w:rPr>
        <w:t>．村集体提留资金。区水务局会同区财政局依据各镇乡上报的村资金分配方案，将补贴资金拨付至有关镇乡人民政府经济发展办公室，并由镇乡人民政府经济发展办公室严格实行报账制。村委会依据资金补贴额度，通过民主程序制定资金使用计划报镇乡人民政府经济发展办公室。镇乡人民政府经济发展办公室依据各村资金使用计划和报销票据予以报账。严禁将此项资金拨付村集体账户。</w:t>
      </w:r>
    </w:p>
    <w:p w:rsidR="004C57D4" w:rsidRDefault="004C57D4" w:rsidP="004C57D4">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lastRenderedPageBreak/>
        <w:t>七、部门分工</w:t>
      </w:r>
    </w:p>
    <w:p w:rsidR="004C57D4" w:rsidRDefault="004C57D4" w:rsidP="004C57D4">
      <w:pPr>
        <w:spacing w:line="560" w:lineRule="exact"/>
        <w:ind w:firstLineChars="200" w:firstLine="640"/>
        <w:rPr>
          <w:rFonts w:eastAsia="仿宋_GB2312" w:hint="eastAsia"/>
          <w:sz w:val="32"/>
          <w:szCs w:val="32"/>
        </w:rPr>
      </w:pPr>
      <w:r>
        <w:rPr>
          <w:rFonts w:eastAsia="仿宋_GB2312" w:hint="eastAsia"/>
          <w:sz w:val="32"/>
          <w:szCs w:val="32"/>
        </w:rPr>
        <w:t>各有关部门、镇乡分工协作、密切配合，共同做好资金发放相关工作。</w:t>
      </w:r>
    </w:p>
    <w:p w:rsidR="004C57D4" w:rsidRDefault="004C57D4" w:rsidP="004C57D4">
      <w:pPr>
        <w:spacing w:line="560" w:lineRule="exact"/>
        <w:ind w:firstLineChars="200" w:firstLine="640"/>
        <w:rPr>
          <w:rFonts w:eastAsia="仿宋_GB2312" w:hint="eastAsia"/>
          <w:sz w:val="32"/>
          <w:szCs w:val="32"/>
        </w:rPr>
      </w:pPr>
      <w:r>
        <w:rPr>
          <w:rFonts w:ascii="楷体_GB2312" w:eastAsia="楷体_GB2312" w:hint="eastAsia"/>
          <w:sz w:val="32"/>
          <w:szCs w:val="32"/>
        </w:rPr>
        <w:t>（一）各有关镇乡人民政府</w:t>
      </w:r>
      <w:r>
        <w:rPr>
          <w:rFonts w:eastAsia="仿宋_GB2312" w:hint="eastAsia"/>
          <w:sz w:val="32"/>
          <w:szCs w:val="32"/>
        </w:rPr>
        <w:t>。认真做好所辖村有关人口核实工作，按要求提供相关资料凭证；组织所辖村做好资金分配方案制定，认真把关后报区水务局备案；配合区水务局、区财政局做好补贴资金发放工作，切实维护本地区大局稳定；监督管理村提留资金使用，严格执行镇乡级财政报账制；配合各有关部门做好资金监督检查工作，发现问题，及时整改。</w:t>
      </w:r>
      <w:r>
        <w:rPr>
          <w:rFonts w:eastAsia="仿宋_GB2312"/>
          <w:sz w:val="32"/>
          <w:szCs w:val="32"/>
        </w:rPr>
        <w:t>每年年底，向</w:t>
      </w:r>
      <w:r>
        <w:rPr>
          <w:rFonts w:eastAsia="仿宋_GB2312" w:hint="eastAsia"/>
          <w:sz w:val="32"/>
          <w:szCs w:val="32"/>
        </w:rPr>
        <w:t>区水务局</w:t>
      </w:r>
      <w:r>
        <w:rPr>
          <w:rFonts w:eastAsia="仿宋_GB2312"/>
          <w:sz w:val="32"/>
          <w:szCs w:val="32"/>
        </w:rPr>
        <w:t>报送本年度资金管理使用情况以及其他有关事项</w:t>
      </w:r>
      <w:r>
        <w:rPr>
          <w:rFonts w:eastAsia="仿宋_GB2312" w:hint="eastAsia"/>
          <w:sz w:val="32"/>
          <w:szCs w:val="32"/>
        </w:rPr>
        <w:t>。</w:t>
      </w:r>
    </w:p>
    <w:p w:rsidR="004C57D4" w:rsidRDefault="004C57D4" w:rsidP="004C57D4">
      <w:pPr>
        <w:spacing w:line="560" w:lineRule="exact"/>
        <w:ind w:firstLineChars="200" w:firstLine="640"/>
        <w:rPr>
          <w:rFonts w:eastAsia="仿宋_GB2312" w:hint="eastAsia"/>
          <w:sz w:val="32"/>
          <w:szCs w:val="32"/>
        </w:rPr>
      </w:pPr>
      <w:r>
        <w:rPr>
          <w:rFonts w:ascii="楷体_GB2312" w:eastAsia="楷体_GB2312" w:hint="eastAsia"/>
          <w:sz w:val="32"/>
          <w:szCs w:val="32"/>
        </w:rPr>
        <w:t>（</w:t>
      </w:r>
      <w:r>
        <w:rPr>
          <w:rFonts w:ascii="楷体_GB2312" w:eastAsia="楷体_GB2312" w:hAnsi="Times New Roman" w:hint="eastAsia"/>
          <w:sz w:val="32"/>
          <w:szCs w:val="32"/>
        </w:rPr>
        <w:t>二）区水务</w:t>
      </w:r>
      <w:r>
        <w:rPr>
          <w:rFonts w:ascii="楷体_GB2312" w:eastAsia="楷体_GB2312" w:hint="eastAsia"/>
          <w:sz w:val="32"/>
          <w:szCs w:val="32"/>
        </w:rPr>
        <w:t>局</w:t>
      </w:r>
      <w:r>
        <w:rPr>
          <w:rFonts w:eastAsia="仿宋_GB2312" w:hint="eastAsia"/>
          <w:sz w:val="32"/>
          <w:szCs w:val="32"/>
        </w:rPr>
        <w:t>。审定各镇乡村资金分配方案；会同区财政局负责资金发放、监督和绩效管理等工作。</w:t>
      </w:r>
    </w:p>
    <w:p w:rsidR="004C57D4" w:rsidRDefault="004C57D4" w:rsidP="004C57D4">
      <w:pPr>
        <w:spacing w:line="560" w:lineRule="exact"/>
        <w:ind w:firstLineChars="200" w:firstLine="640"/>
        <w:rPr>
          <w:rFonts w:eastAsia="仿宋_GB2312" w:hint="eastAsia"/>
          <w:sz w:val="32"/>
          <w:szCs w:val="32"/>
        </w:rPr>
      </w:pPr>
      <w:r>
        <w:rPr>
          <w:rFonts w:ascii="楷体_GB2312" w:eastAsia="楷体_GB2312" w:hint="eastAsia"/>
          <w:sz w:val="32"/>
          <w:szCs w:val="32"/>
        </w:rPr>
        <w:t>（三）区财政局</w:t>
      </w:r>
      <w:r>
        <w:rPr>
          <w:rFonts w:eastAsia="仿宋_GB2312" w:hint="eastAsia"/>
          <w:sz w:val="32"/>
          <w:szCs w:val="32"/>
        </w:rPr>
        <w:t>。负责安排资金，会同区水务局负责资金监督管理等工作。</w:t>
      </w:r>
    </w:p>
    <w:p w:rsidR="00A541FB" w:rsidRPr="004C57D4" w:rsidRDefault="004C57D4" w:rsidP="004C57D4">
      <w:pPr>
        <w:spacing w:line="560" w:lineRule="exact"/>
        <w:ind w:firstLineChars="200" w:firstLine="640"/>
        <w:rPr>
          <w:rFonts w:eastAsia="仿宋_GB2312"/>
          <w:sz w:val="32"/>
          <w:szCs w:val="32"/>
        </w:rPr>
      </w:pPr>
      <w:r>
        <w:rPr>
          <w:rFonts w:ascii="楷体_GB2312" w:eastAsia="楷体_GB2312" w:hint="eastAsia"/>
          <w:sz w:val="32"/>
          <w:szCs w:val="32"/>
        </w:rPr>
        <w:t>（四）严肃资金使用纪律</w:t>
      </w:r>
      <w:r>
        <w:rPr>
          <w:rFonts w:eastAsia="仿宋_GB2312" w:hint="eastAsia"/>
          <w:sz w:val="32"/>
          <w:szCs w:val="32"/>
        </w:rPr>
        <w:t>。各有关部门、镇乡要严格按照要求管理使用资金，严禁违规使用，一经发现严肃处理。</w:t>
      </w:r>
    </w:p>
    <w:sectPr w:rsidR="00A541FB" w:rsidRPr="004C57D4">
      <w:footerReference w:type="even" r:id="rId7"/>
      <w:footerReference w:type="default" r:id="rId8"/>
      <w:pgSz w:w="11906" w:h="16838"/>
      <w:pgMar w:top="2098" w:right="1474" w:bottom="1985" w:left="1588" w:header="851" w:footer="992" w:gutter="0"/>
      <w:pgNumType w:fmt="numberInDash"/>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1FB" w:rsidRDefault="00A541FB" w:rsidP="004C57D4">
      <w:r>
        <w:separator/>
      </w:r>
    </w:p>
  </w:endnote>
  <w:endnote w:type="continuationSeparator" w:id="1">
    <w:p w:rsidR="00A541FB" w:rsidRDefault="00A541FB" w:rsidP="004C57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89" w:rsidRDefault="00A541FB">
    <w:pPr>
      <w:pStyle w:val="a4"/>
      <w:framePr w:wrap="around" w:vAnchor="text" w:hAnchor="margin" w:xAlign="outside" w:y="1"/>
      <w:rPr>
        <w:rStyle w:val="a5"/>
      </w:rPr>
    </w:pPr>
    <w:r>
      <w:fldChar w:fldCharType="begin"/>
    </w:r>
    <w:r>
      <w:rPr>
        <w:rStyle w:val="a5"/>
      </w:rPr>
      <w:instrText xml:space="preserve">PAGE  </w:instrText>
    </w:r>
    <w:r>
      <w:fldChar w:fldCharType="end"/>
    </w:r>
  </w:p>
  <w:p w:rsidR="00371489" w:rsidRDefault="00A541FB">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489" w:rsidRDefault="00A541FB">
    <w:pPr>
      <w:pStyle w:val="a4"/>
      <w:framePr w:wrap="around" w:vAnchor="text" w:hAnchor="margin" w:xAlign="outside" w:y="1"/>
      <w:rPr>
        <w:rStyle w:val="a5"/>
        <w:rFonts w:ascii="宋体" w:hAnsi="宋体" w:hint="eastAsia"/>
        <w:sz w:val="28"/>
        <w:szCs w:val="28"/>
      </w:rPr>
    </w:pPr>
    <w:r>
      <w:rPr>
        <w:rFonts w:ascii="宋体" w:hAnsi="宋体" w:hint="eastAsia"/>
        <w:sz w:val="28"/>
        <w:szCs w:val="28"/>
        <w:lang w:val="en-US" w:eastAsia="zh-CN"/>
      </w:rPr>
      <w:pict>
        <v:shapetype id="_x0000_t202" coordsize="21600,21600" o:spt="202" path="m,l,21600r21600,l21600,xe">
          <v:stroke joinstyle="miter"/>
          <v:path gradientshapeok="t" o:connecttype="rect"/>
        </v:shapetype>
        <v:shape id="文本框 1" o:spid="_x0000_s1025" type="#_x0000_t202" style="position:absolute;margin-left:0;margin-top:1.5pt;width:27pt;height:17.15pt;z-index:251660288;mso-position-horizontal-relative:margin" filled="f" stroked="f" strokeweight=".5pt">
          <v:textbox inset="0,0,0,0">
            <w:txbxContent>
              <w:p w:rsidR="00371489" w:rsidRDefault="00A541FB">
                <w:pPr>
                  <w:pStyle w:val="a4"/>
                  <w:rPr>
                    <w:rFonts w:hint="eastAsia"/>
                  </w:rPr>
                </w:pPr>
              </w:p>
            </w:txbxContent>
          </v:textbox>
          <w10:wrap anchorx="margin"/>
        </v:shape>
      </w:pict>
    </w:r>
    <w:r>
      <w:rPr>
        <w:rFonts w:ascii="宋体" w:hAnsi="宋体" w:hint="eastAsia"/>
        <w:sz w:val="28"/>
        <w:szCs w:val="28"/>
      </w:rPr>
      <w:fldChar w:fldCharType="begin"/>
    </w:r>
    <w:r>
      <w:rPr>
        <w:rStyle w:val="a5"/>
        <w:rFonts w:ascii="宋体" w:hAnsi="宋体" w:hint="eastAsia"/>
        <w:sz w:val="28"/>
        <w:szCs w:val="28"/>
      </w:rPr>
      <w:instrText xml:space="preserve">PAGE  </w:instrText>
    </w:r>
    <w:r>
      <w:rPr>
        <w:rFonts w:ascii="宋体" w:hAnsi="宋体" w:hint="eastAsia"/>
        <w:sz w:val="28"/>
        <w:szCs w:val="28"/>
      </w:rPr>
      <w:fldChar w:fldCharType="separate"/>
    </w:r>
    <w:r w:rsidR="004C57D4">
      <w:rPr>
        <w:rStyle w:val="a5"/>
        <w:rFonts w:ascii="宋体" w:hAnsi="宋体"/>
        <w:noProof/>
        <w:sz w:val="28"/>
        <w:szCs w:val="28"/>
      </w:rPr>
      <w:t>- 2 -</w:t>
    </w:r>
    <w:r>
      <w:rPr>
        <w:rFonts w:ascii="宋体" w:hAnsi="宋体" w:hint="eastAsia"/>
        <w:sz w:val="28"/>
        <w:szCs w:val="28"/>
      </w:rPr>
      <w:fldChar w:fldCharType="end"/>
    </w:r>
  </w:p>
  <w:p w:rsidR="00371489" w:rsidRDefault="00A541FB">
    <w:pPr>
      <w:pStyle w:val="a4"/>
      <w:tabs>
        <w:tab w:val="left" w:pos="4005"/>
        <w:tab w:val="center" w:pos="4252"/>
      </w:tabs>
      <w:ind w:right="360" w:firstLine="360"/>
      <w:rPr>
        <w:rFonts w:asci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1FB" w:rsidRDefault="00A541FB" w:rsidP="004C57D4">
      <w:r>
        <w:separator/>
      </w:r>
    </w:p>
  </w:footnote>
  <w:footnote w:type="continuationSeparator" w:id="1">
    <w:p w:rsidR="00A541FB" w:rsidRDefault="00A541FB" w:rsidP="004C5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272C4F"/>
    <w:multiLevelType w:val="singleLevel"/>
    <w:tmpl w:val="AF272C4F"/>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7D4"/>
    <w:rsid w:val="004C57D4"/>
    <w:rsid w:val="00A541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7D4"/>
    <w:rPr>
      <w:sz w:val="18"/>
      <w:szCs w:val="18"/>
    </w:rPr>
  </w:style>
  <w:style w:type="paragraph" w:styleId="a4">
    <w:name w:val="footer"/>
    <w:basedOn w:val="a"/>
    <w:link w:val="Char0"/>
    <w:unhideWhenUsed/>
    <w:rsid w:val="004C57D4"/>
    <w:pPr>
      <w:tabs>
        <w:tab w:val="center" w:pos="4153"/>
        <w:tab w:val="right" w:pos="8306"/>
      </w:tabs>
      <w:snapToGrid w:val="0"/>
      <w:jc w:val="left"/>
    </w:pPr>
    <w:rPr>
      <w:sz w:val="18"/>
      <w:szCs w:val="18"/>
    </w:rPr>
  </w:style>
  <w:style w:type="character" w:customStyle="1" w:styleId="Char0">
    <w:name w:val="页脚 Char"/>
    <w:basedOn w:val="a0"/>
    <w:link w:val="a4"/>
    <w:semiHidden/>
    <w:rsid w:val="004C57D4"/>
    <w:rPr>
      <w:sz w:val="18"/>
      <w:szCs w:val="18"/>
    </w:rPr>
  </w:style>
  <w:style w:type="character" w:styleId="a5">
    <w:name w:val="page number"/>
    <w:basedOn w:val="a0"/>
    <w:rsid w:val="004C57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1059</Characters>
  <Application>Microsoft Office Word</Application>
  <DocSecurity>0</DocSecurity>
  <Lines>8</Lines>
  <Paragraphs>2</Paragraphs>
  <ScaleCrop>false</ScaleCrop>
  <Company>微软中国</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2023-03-08T09:02:00Z</dcterms:created>
  <dcterms:modified xsi:type="dcterms:W3CDTF">2023-03-08T09:02:00Z</dcterms:modified>
</cp:coreProperties>
</file>