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年蓟州区国民经济和社会发展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统计公报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是党和国家历史上具有里程碑意义的一年，是蓟州区发展进程中不平凡的一年。在以习近平同志为核心的党中央坚强领导下，蓟州区坚持以习近平新时代中国特色社会主义思想为指导，在市委、市政府和区委、区政府的坚强领导下，全面贯彻党的十九大和十九届历次全会精神，弘扬伟大建党精神，沉着应对百年变局和世纪疫情，积极抢抓京津冀协同发展、乡村振兴重大战略机遇，坚定不移走绿色发展、高质量发展之路，迈出建设社会主义现代化新蓟州的坚实步伐，实现了“十四五”良好开局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一、综合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根据地区生产总值统一核算结果，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2021年,全区</w:t>
      </w:r>
      <w:r>
        <w:rPr>
          <w:rFonts w:hint="eastAsia" w:ascii="仿宋_GB2312" w:hAnsi="仿宋_GB2312" w:eastAsia="仿宋_GB2312" w:cs="仿宋_GB2312"/>
          <w:sz w:val="32"/>
          <w:szCs w:val="32"/>
        </w:rPr>
        <w:t>地区生产总值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250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亿元，按可比价格计算，同比增长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%。其中，第一产业实现增加值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36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%；第二产业实现增加值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58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52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%；第三产业实现增加值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151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52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%。三次产业结构比为 </w:t>
      </w:r>
      <w:r>
        <w:rPr>
          <w:rFonts w:hint="eastAsia" w:ascii="Times New Roman" w:hAnsi="Times New Roman" w:eastAsia="仿宋_GB2312" w:cs="仿宋_GB2312"/>
          <w:sz w:val="32"/>
          <w:szCs w:val="32"/>
        </w:rPr>
        <w:t>16.1：23.4：60.5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二、农业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农业生产基础进一步巩固。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全年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完成农业总产值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90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亿元，按可比价计算，同比增长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%。粮食喜获丰收，为保障市场供应和稳定物价奠定良好基础。全年粮食总产量</w:t>
      </w:r>
      <w:r>
        <w:rPr>
          <w:rFonts w:hint="eastAsia" w:ascii="Times New Roman" w:hAnsi="Times New Roman" w:eastAsia="仿宋_GB2312" w:cs="仿宋_GB2312"/>
          <w:sz w:val="32"/>
          <w:szCs w:val="32"/>
        </w:rPr>
        <w:t>35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77</w:t>
      </w:r>
      <w:r>
        <w:rPr>
          <w:rFonts w:hint="eastAsia" w:ascii="仿宋_GB2312" w:hAnsi="仿宋_GB2312" w:eastAsia="仿宋_GB2312" w:cs="仿宋_GB2312"/>
          <w:sz w:val="32"/>
          <w:szCs w:val="32"/>
        </w:rPr>
        <w:t>万吨，同比增长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%。其中，夏粮产量</w:t>
      </w:r>
      <w:r>
        <w:rPr>
          <w:rFonts w:hint="eastAsia" w:ascii="Times New Roman" w:hAnsi="Times New Roman" w:eastAsia="仿宋_GB2312" w:cs="仿宋_GB2312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万吨，增长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%；蔬菜产量稳定在</w:t>
      </w:r>
      <w:r>
        <w:rPr>
          <w:rFonts w:hint="eastAsia" w:ascii="Times New Roman" w:hAnsi="Times New Roman" w:eastAsia="仿宋_GB2312" w:cs="仿宋_GB2312"/>
          <w:sz w:val="32"/>
          <w:szCs w:val="32"/>
        </w:rPr>
        <w:t>29.90</w:t>
      </w:r>
      <w:r>
        <w:rPr>
          <w:rFonts w:hint="eastAsia" w:ascii="仿宋_GB2312" w:hAnsi="仿宋_GB2312" w:eastAsia="仿宋_GB2312" w:cs="仿宋_GB2312"/>
          <w:sz w:val="32"/>
          <w:szCs w:val="32"/>
        </w:rPr>
        <w:t>万吨。猪牛羊禽肉产量</w:t>
      </w:r>
      <w:r>
        <w:rPr>
          <w:rFonts w:hint="eastAsia" w:ascii="Times New Roman" w:hAnsi="Times New Roman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万吨。其中，羊肉产量</w:t>
      </w:r>
      <w:r>
        <w:rPr>
          <w:rFonts w:hint="eastAsia" w:ascii="Times New Roman" w:hAnsi="Times New Roman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33</w:t>
      </w:r>
      <w:r>
        <w:rPr>
          <w:rFonts w:hint="eastAsia" w:ascii="仿宋_GB2312" w:hAnsi="仿宋_GB2312" w:eastAsia="仿宋_GB2312" w:cs="仿宋_GB2312"/>
          <w:sz w:val="32"/>
          <w:szCs w:val="32"/>
        </w:rPr>
        <w:t>万吨，同比增长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%；禽肉产量</w:t>
      </w:r>
      <w:r>
        <w:rPr>
          <w:rFonts w:hint="eastAsia" w:ascii="Times New Roman" w:hAnsi="Times New Roman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万吨，同比增长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年末，羊存栏、羊出栏分别同比增长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%、</w:t>
      </w:r>
      <w:r>
        <w:rPr>
          <w:rFonts w:hint="eastAsia" w:ascii="Times New Roman" w:hAnsi="Times New Roman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三、工业与建筑业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工业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工业行业增长面达七成以上。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全年全区工业增加值39.73亿元，同比增长8.2</w:t>
      </w:r>
      <w:r>
        <w:rPr>
          <w:rFonts w:hint="eastAsia" w:ascii="仿宋_GB2312" w:hAnsi="仿宋_GB2312" w:eastAsia="仿宋_GB2312" w:cs="仿宋_GB2312"/>
          <w:sz w:val="32"/>
          <w:szCs w:val="32"/>
        </w:rPr>
        <w:t>%。规模以上工业总产值同比增长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%，两年平均增长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%。从行业小类看，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79</w:t>
      </w:r>
      <w:r>
        <w:rPr>
          <w:rFonts w:hint="eastAsia" w:ascii="仿宋_GB2312" w:hAnsi="仿宋_GB2312" w:eastAsia="仿宋_GB2312" w:cs="仿宋_GB2312"/>
          <w:sz w:val="32"/>
          <w:szCs w:val="32"/>
        </w:rPr>
        <w:t>个工业行业小类中，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56</w:t>
      </w:r>
      <w:r>
        <w:rPr>
          <w:rFonts w:hint="eastAsia" w:ascii="仿宋_GB2312" w:hAnsi="仿宋_GB2312" w:eastAsia="仿宋_GB2312" w:cs="仿宋_GB2312"/>
          <w:sz w:val="32"/>
          <w:szCs w:val="32"/>
        </w:rPr>
        <w:t>个行业产值保持正增长，增长面达</w:t>
      </w:r>
      <w:r>
        <w:rPr>
          <w:rFonts w:hint="eastAsia" w:ascii="Times New Roman" w:hAnsi="Times New Roman" w:eastAsia="仿宋_GB2312" w:cs="仿宋_GB2312"/>
          <w:sz w:val="32"/>
          <w:szCs w:val="32"/>
        </w:rPr>
        <w:t>70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%。其中，平板玻璃制造业增长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55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%；铝压延加工业增长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32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%；火力发电业增长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%；生物质燃气生产和供应业增长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84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从主要产品产量看，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39</w:t>
      </w:r>
      <w:r>
        <w:rPr>
          <w:rFonts w:hint="eastAsia" w:ascii="仿宋_GB2312" w:hAnsi="仿宋_GB2312" w:eastAsia="仿宋_GB2312" w:cs="仿宋_GB2312"/>
          <w:sz w:val="32"/>
          <w:szCs w:val="32"/>
        </w:rPr>
        <w:t>类工业产品中，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类产品产量同比增长，增长面达到</w:t>
      </w:r>
      <w:r>
        <w:rPr>
          <w:rFonts w:hint="eastAsia" w:ascii="Times New Roman" w:hAnsi="Times New Roman" w:eastAsia="仿宋_GB2312" w:cs="仿宋_GB2312"/>
          <w:sz w:val="32"/>
          <w:szCs w:val="32"/>
        </w:rPr>
        <w:t>76.9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%。其中，商品混凝土</w:t>
      </w:r>
      <w:r>
        <w:rPr>
          <w:rFonts w:hint="eastAsia" w:ascii="Times New Roman" w:hAnsi="Times New Roman" w:eastAsia="仿宋_GB2312" w:cs="仿宋_GB2312"/>
          <w:sz w:val="32"/>
          <w:szCs w:val="32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44</w:t>
      </w:r>
      <w:r>
        <w:rPr>
          <w:rFonts w:hint="eastAsia" w:ascii="仿宋_GB2312" w:hAnsi="仿宋_GB2312" w:eastAsia="仿宋_GB2312" w:cs="仿宋_GB2312"/>
          <w:sz w:val="32"/>
          <w:szCs w:val="32"/>
        </w:rPr>
        <w:t>万立方米，同比增长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15.9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%；陶质砖</w:t>
      </w:r>
      <w:r>
        <w:rPr>
          <w:rFonts w:hint="eastAsia" w:ascii="Times New Roman" w:hAnsi="Times New Roman" w:eastAsia="仿宋_GB2312" w:cs="仿宋_GB2312"/>
          <w:sz w:val="32"/>
          <w:szCs w:val="32"/>
        </w:rPr>
        <w:t>32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万平方米，同比增长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42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%；塑料制品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万吨，同比增长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5.9</w:t>
      </w:r>
      <w:r>
        <w:rPr>
          <w:rFonts w:hint="eastAsia" w:ascii="仿宋_GB2312" w:hAnsi="仿宋_GB2312" w:eastAsia="仿宋_GB2312" w:cs="仿宋_GB2312"/>
          <w:sz w:val="32"/>
          <w:szCs w:val="32"/>
        </w:rPr>
        <w:t>%；平板玻璃</w:t>
      </w:r>
      <w:r>
        <w:rPr>
          <w:rFonts w:hint="eastAsia" w:ascii="Times New Roman" w:hAnsi="Times New Roman" w:eastAsia="仿宋_GB2312" w:cs="仿宋_GB2312"/>
          <w:sz w:val="32"/>
          <w:szCs w:val="32"/>
        </w:rPr>
        <w:t>1341</w:t>
      </w:r>
      <w:r>
        <w:rPr>
          <w:rFonts w:hint="eastAsia" w:ascii="仿宋_GB2312" w:hAnsi="仿宋_GB2312" w:eastAsia="仿宋_GB2312" w:cs="仿宋_GB2312"/>
          <w:sz w:val="32"/>
          <w:szCs w:val="32"/>
        </w:rPr>
        <w:t>万重量箱，同比增长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0.6</w:t>
      </w:r>
      <w:r>
        <w:rPr>
          <w:rFonts w:hint="eastAsia" w:ascii="仿宋_GB2312" w:hAnsi="仿宋_GB2312" w:eastAsia="仿宋_GB2312" w:cs="仿宋_GB2312"/>
          <w:sz w:val="32"/>
          <w:szCs w:val="32"/>
        </w:rPr>
        <w:t>%；精制食用植物油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64</w:t>
      </w:r>
      <w:r>
        <w:rPr>
          <w:rFonts w:hint="eastAsia" w:ascii="仿宋_GB2312" w:hAnsi="仿宋_GB2312" w:eastAsia="仿宋_GB2312" w:cs="仿宋_GB2312"/>
          <w:sz w:val="32"/>
          <w:szCs w:val="32"/>
        </w:rPr>
        <w:t>万吨，同比增长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17.8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 xml:space="preserve">建筑业   </w:t>
      </w:r>
    </w:p>
    <w:p>
      <w:pPr>
        <w:spacing w:line="560" w:lineRule="exact"/>
        <w:ind w:firstLine="64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全年全区</w:t>
      </w:r>
      <w:r>
        <w:rPr>
          <w:rFonts w:hint="eastAsia" w:ascii="仿宋_GB2312" w:hAnsi="仿宋_GB2312" w:eastAsia="仿宋_GB2312" w:cs="仿宋_GB2312"/>
          <w:sz w:val="32"/>
          <w:szCs w:val="32"/>
        </w:rPr>
        <w:t>建筑业实现增加值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86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亿元，同比下降</w:t>
      </w:r>
      <w:r>
        <w:rPr>
          <w:rFonts w:hint="eastAsia" w:ascii="Times New Roman" w:hAnsi="Times New Roman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%。建筑业完成总产值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51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亿元，同比下降</w:t>
      </w:r>
      <w:r>
        <w:rPr>
          <w:rFonts w:hint="eastAsia" w:ascii="Times New Roman" w:hAnsi="Times New Roman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%。其中，在外省完成产值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63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亿元，占全区建筑业总产值比重达</w:t>
      </w:r>
      <w:r>
        <w:rPr>
          <w:rFonts w:hint="eastAsia" w:ascii="Times New Roman" w:hAnsi="Times New Roman" w:eastAsia="仿宋_GB2312" w:cs="仿宋_GB2312"/>
          <w:sz w:val="32"/>
          <w:szCs w:val="32"/>
        </w:rPr>
        <w:t>42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%。全年签订合同额</w:t>
      </w:r>
      <w:r>
        <w:rPr>
          <w:rFonts w:hint="eastAsia" w:ascii="Times New Roman" w:hAnsi="Times New Roman" w:eastAsia="仿宋_GB2312" w:cs="仿宋_GB2312"/>
          <w:sz w:val="32"/>
          <w:szCs w:val="32"/>
        </w:rPr>
        <w:t>80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64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亿元，其中本年新签合同额</w:t>
      </w:r>
      <w:r>
        <w:rPr>
          <w:rFonts w:hint="eastAsia" w:ascii="Times New Roman" w:hAnsi="Times New Roman" w:eastAsia="仿宋_GB2312" w:cs="仿宋_GB2312"/>
          <w:sz w:val="32"/>
          <w:szCs w:val="32"/>
        </w:rPr>
        <w:t>46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05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亿元。建筑业企业房屋施工面积</w:t>
      </w:r>
      <w:r>
        <w:rPr>
          <w:rFonts w:hint="eastAsia" w:ascii="Times New Roman" w:hAnsi="Times New Roman" w:eastAsia="仿宋_GB2312" w:cs="仿宋_GB2312"/>
          <w:sz w:val="32"/>
          <w:szCs w:val="32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87</w:t>
      </w:r>
      <w:r>
        <w:rPr>
          <w:rFonts w:hint="eastAsia" w:ascii="仿宋_GB2312" w:hAnsi="仿宋_GB2312" w:eastAsia="仿宋_GB2312" w:cs="仿宋_GB2312"/>
          <w:sz w:val="32"/>
          <w:szCs w:val="32"/>
        </w:rPr>
        <w:t>万平方米，其中新开工面积</w:t>
      </w:r>
      <w:r>
        <w:rPr>
          <w:rFonts w:hint="eastAsia" w:ascii="Times New Roman" w:hAnsi="Times New Roman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万平方米。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四、服务业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服务业逐步摆脱疫情影响实现恢复性增长</w:t>
      </w:r>
      <w:r>
        <w:rPr>
          <w:rFonts w:hint="eastAsia" w:ascii="黑体" w:hAnsi="黑体" w:eastAsia="黑体" w:cs="黑体"/>
          <w:sz w:val="32"/>
          <w:szCs w:val="32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全年</w:t>
      </w:r>
      <w:r>
        <w:rPr>
          <w:rFonts w:hint="eastAsia" w:ascii="仿宋_GB2312" w:hAnsi="仿宋_GB2312" w:eastAsia="仿宋_GB2312" w:cs="仿宋_GB2312"/>
          <w:sz w:val="32"/>
          <w:szCs w:val="32"/>
        </w:rPr>
        <w:t>全区第三产业增加值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151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52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%，两年平均增长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%。其中，交通运输仓储邮政业增加值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08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%；住宿和餐饮业增加值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52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%；金融业增加值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07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%；房地产业增加值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33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38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%；其他服务业增加值</w:t>
      </w:r>
      <w:r>
        <w:rPr>
          <w:rFonts w:hint="eastAsia" w:ascii="Times New Roman" w:hAnsi="Times New Roman" w:eastAsia="仿宋_GB2312" w:cs="仿宋_GB2312"/>
          <w:sz w:val="32"/>
          <w:szCs w:val="32"/>
        </w:rPr>
        <w:t>79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%。  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不断完善交通网建设。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全区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境内通车总里程达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3084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公里，同比增长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%。其中，干线公路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352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公里，区级公路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237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公里，乡级公路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2478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公里。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  <w:highlight w:val="red"/>
        </w:rPr>
      </w:pPr>
      <w:r>
        <w:rPr>
          <w:rFonts w:hint="eastAsia" w:ascii="楷体" w:hAnsi="楷体" w:eastAsia="楷体" w:cs="楷体"/>
          <w:sz w:val="32"/>
          <w:szCs w:val="32"/>
        </w:rPr>
        <w:t>邮电业快速增长。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全年邮电业务总量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97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亿元，同比增长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18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%。其中，电信业务总量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5.44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亿元，同比增长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%，邮政业务总量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53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亿元，同比增长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17.8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%。全年快递业务量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95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万件，同比增长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49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%。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五、国内贸易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消费市场稳步复苏。</w:t>
      </w:r>
      <w:r>
        <w:rPr>
          <w:rFonts w:hint="eastAsia" w:ascii="仿宋_GB2312" w:hAnsi="仿宋_GB2312" w:eastAsia="仿宋_GB2312" w:cs="仿宋_GB2312"/>
          <w:sz w:val="32"/>
          <w:szCs w:val="32"/>
        </w:rPr>
        <w:t>全年批发和零售业商品销售额同比增长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%，其中，限额以上批发和零售业商品销售额下降</w:t>
      </w:r>
      <w:r>
        <w:rPr>
          <w:rFonts w:hint="eastAsia" w:ascii="Times New Roman" w:hAnsi="Times New Roman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%，限额以下批发和零售业商品销售额增长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%。限额以上单位商品销售额中，烟酒类商品增长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%，中西药品类商品增长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0.5</w:t>
      </w:r>
      <w:r>
        <w:rPr>
          <w:rFonts w:hint="eastAsia" w:ascii="仿宋_GB2312" w:hAnsi="仿宋_GB2312" w:eastAsia="仿宋_GB2312" w:cs="仿宋_GB2312"/>
          <w:sz w:val="32"/>
          <w:szCs w:val="32"/>
        </w:rPr>
        <w:t>%。社会消费品零售总额55.45亿元，同比增长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%。其中，限额以上社会消费品零售额9.88亿元，同比增长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%，占全区社会消费品零售总额比重为</w:t>
      </w:r>
      <w:r>
        <w:rPr>
          <w:rFonts w:hint="eastAsia" w:ascii="Times New Roman" w:hAnsi="Times New Roman" w:eastAsia="仿宋_GB2312" w:cs="仿宋_GB2312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%；限额以下社会消费品零售额45.57亿元，同比增长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%，占全区社会消费品零售总额比重为</w:t>
      </w:r>
      <w:r>
        <w:rPr>
          <w:rFonts w:hint="eastAsia" w:ascii="Times New Roman" w:hAnsi="Times New Roman" w:eastAsia="仿宋_GB2312" w:cs="仿宋_GB2312"/>
          <w:sz w:val="32"/>
          <w:szCs w:val="32"/>
        </w:rPr>
        <w:t>82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%。 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六、固定资产投资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固定资产投资仍需加力。</w:t>
      </w:r>
      <w:r>
        <w:rPr>
          <w:rFonts w:hint="eastAsia" w:ascii="仿宋_GB2312" w:hAnsi="仿宋_GB2312" w:eastAsia="仿宋_GB2312" w:cs="仿宋_GB2312"/>
          <w:sz w:val="32"/>
          <w:szCs w:val="32"/>
        </w:rPr>
        <w:t>全年固定资产投资同比下降</w:t>
      </w:r>
      <w:r>
        <w:rPr>
          <w:rFonts w:hint="eastAsia" w:ascii="Times New Roman" w:hAnsi="Times New Roman" w:eastAsia="仿宋_GB2312" w:cs="仿宋_GB2312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%。其中，第一产业投资增长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%；第二产业投资下降</w:t>
      </w:r>
      <w:r>
        <w:rPr>
          <w:rFonts w:hint="eastAsia" w:ascii="Times New Roman" w:hAnsi="Times New Roman" w:eastAsia="仿宋_GB2312" w:cs="仿宋_GB2312"/>
          <w:sz w:val="32"/>
          <w:szCs w:val="32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%；第三产业投资下降</w:t>
      </w:r>
      <w:r>
        <w:rPr>
          <w:rFonts w:hint="eastAsia" w:ascii="Times New Roman" w:hAnsi="Times New Roman" w:eastAsia="仿宋_GB2312" w:cs="仿宋_GB2312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%。民间固定资产投资下降</w:t>
      </w:r>
      <w:r>
        <w:rPr>
          <w:rFonts w:hint="eastAsia" w:ascii="Times New Roman" w:hAnsi="Times New Roman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%，占全区固定资产投资比重为</w:t>
      </w:r>
      <w:r>
        <w:rPr>
          <w:rFonts w:hint="eastAsia" w:ascii="Times New Roman" w:hAnsi="Times New Roman" w:eastAsia="仿宋_GB2312" w:cs="仿宋_GB2312"/>
          <w:sz w:val="32"/>
          <w:szCs w:val="32"/>
        </w:rPr>
        <w:t>36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全年房地产开发投资下降</w:t>
      </w:r>
      <w:r>
        <w:rPr>
          <w:rFonts w:hint="eastAsia" w:ascii="Times New Roman" w:hAnsi="Times New Roman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%。商品房销售面积</w:t>
      </w:r>
      <w:r>
        <w:rPr>
          <w:rFonts w:hint="eastAsia" w:ascii="Times New Roman" w:hAnsi="Times New Roman" w:eastAsia="仿宋_GB2312" w:cs="仿宋_GB2312"/>
          <w:sz w:val="32"/>
          <w:szCs w:val="32"/>
        </w:rPr>
        <w:t>36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49</w:t>
      </w:r>
      <w:r>
        <w:rPr>
          <w:rFonts w:hint="eastAsia" w:ascii="仿宋_GB2312" w:hAnsi="仿宋_GB2312" w:eastAsia="仿宋_GB2312" w:cs="仿宋_GB2312"/>
          <w:sz w:val="32"/>
          <w:szCs w:val="32"/>
        </w:rPr>
        <w:t>万平方米，下降</w:t>
      </w:r>
      <w:r>
        <w:rPr>
          <w:rFonts w:hint="eastAsia" w:ascii="Times New Roman" w:hAnsi="Times New Roman" w:eastAsia="仿宋_GB2312" w:cs="仿宋_GB2312"/>
          <w:sz w:val="32"/>
          <w:szCs w:val="32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%。其中，住宅销售面积</w:t>
      </w:r>
      <w:r>
        <w:rPr>
          <w:rFonts w:hint="eastAsia" w:ascii="Times New Roman" w:hAnsi="Times New Roman" w:eastAsia="仿宋_GB2312" w:cs="仿宋_GB2312"/>
          <w:sz w:val="32"/>
          <w:szCs w:val="32"/>
        </w:rPr>
        <w:t>33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33</w:t>
      </w:r>
      <w:r>
        <w:rPr>
          <w:rFonts w:hint="eastAsia" w:ascii="仿宋_GB2312" w:hAnsi="仿宋_GB2312" w:eastAsia="仿宋_GB2312" w:cs="仿宋_GB2312"/>
          <w:sz w:val="32"/>
          <w:szCs w:val="32"/>
        </w:rPr>
        <w:t>万平方米，下降</w:t>
      </w:r>
      <w:r>
        <w:rPr>
          <w:rFonts w:hint="eastAsia" w:ascii="Times New Roman" w:hAnsi="Times New Roman" w:eastAsia="仿宋_GB2312" w:cs="仿宋_GB2312"/>
          <w:sz w:val="32"/>
          <w:szCs w:val="32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%。年末商品房待售面积</w:t>
      </w:r>
      <w:r>
        <w:rPr>
          <w:rFonts w:hint="eastAsia" w:ascii="Times New Roman" w:hAnsi="Times New Roman" w:eastAsia="仿宋_GB2312" w:cs="仿宋_GB2312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万平方米，增长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%。其中，住宅待售面积</w:t>
      </w:r>
      <w:r>
        <w:rPr>
          <w:rFonts w:hint="eastAsia" w:ascii="Times New Roman" w:hAnsi="Times New Roman" w:eastAsia="仿宋_GB2312" w:cs="仿宋_GB2312"/>
          <w:sz w:val="32"/>
          <w:szCs w:val="32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04</w:t>
      </w:r>
      <w:r>
        <w:rPr>
          <w:rFonts w:hint="eastAsia" w:ascii="仿宋_GB2312" w:hAnsi="仿宋_GB2312" w:eastAsia="仿宋_GB2312" w:cs="仿宋_GB2312"/>
          <w:sz w:val="32"/>
          <w:szCs w:val="32"/>
        </w:rPr>
        <w:t>万平方米，增长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七、对外经济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楷体" w:hAnsi="楷体" w:eastAsia="楷体" w:cs="楷体"/>
          <w:sz w:val="32"/>
          <w:szCs w:val="32"/>
        </w:rPr>
        <w:t>外贸出口保持增长。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全年</w:t>
      </w:r>
      <w:r>
        <w:rPr>
          <w:rFonts w:hint="eastAsia" w:ascii="仿宋_GB2312" w:hAnsi="仿宋_GB2312" w:eastAsia="仿宋_GB2312" w:cs="仿宋_GB2312"/>
          <w:sz w:val="32"/>
          <w:szCs w:val="32"/>
        </w:rPr>
        <w:t>全区完成进出口总额</w:t>
      </w:r>
      <w:r>
        <w:rPr>
          <w:rFonts w:hint="eastAsia" w:ascii="Times New Roman" w:hAnsi="Times New Roman" w:eastAsia="仿宋_GB2312" w:cs="仿宋_GB2312"/>
          <w:sz w:val="32"/>
          <w:szCs w:val="32"/>
        </w:rPr>
        <w:t>4.1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9.6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%。其中，出口总额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86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13.1</w:t>
      </w:r>
      <w:r>
        <w:rPr>
          <w:rFonts w:hint="eastAsia" w:ascii="仿宋_GB2312" w:hAnsi="仿宋_GB2312" w:eastAsia="仿宋_GB2312" w:cs="仿宋_GB2312"/>
          <w:sz w:val="32"/>
          <w:szCs w:val="32"/>
        </w:rPr>
        <w:t>%；进口总额</w:t>
      </w:r>
      <w:r>
        <w:rPr>
          <w:rFonts w:hint="eastAsia" w:ascii="Times New Roman" w:hAnsi="Times New Roman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亿元，下降</w:t>
      </w:r>
      <w:r>
        <w:rPr>
          <w:rFonts w:hint="eastAsia" w:ascii="Times New Roman" w:hAnsi="Times New Roman" w:eastAsia="仿宋_GB2312" w:cs="仿宋_GB2312"/>
          <w:sz w:val="32"/>
          <w:szCs w:val="32"/>
        </w:rPr>
        <w:t>27.3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招商引资取得积极成效。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全年</w:t>
      </w:r>
      <w:r>
        <w:rPr>
          <w:rFonts w:hint="eastAsia" w:ascii="仿宋_GB2312" w:hAnsi="仿宋_GB2312" w:eastAsia="仿宋_GB2312" w:cs="仿宋_GB2312"/>
          <w:sz w:val="32"/>
          <w:szCs w:val="32"/>
        </w:rPr>
        <w:t>全区签约重点项目</w:t>
      </w:r>
      <w:r>
        <w:rPr>
          <w:rFonts w:hint="eastAsia" w:ascii="Times New Roman" w:hAnsi="Times New Roman" w:eastAsia="仿宋_GB2312" w:cs="仿宋_GB2312"/>
          <w:sz w:val="32"/>
          <w:szCs w:val="32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个，协议投资额</w:t>
      </w:r>
      <w:r>
        <w:rPr>
          <w:rFonts w:hint="eastAsia" w:ascii="Times New Roman" w:hAnsi="Times New Roman" w:eastAsia="仿宋_GB2312" w:cs="仿宋_GB2312"/>
          <w:sz w:val="32"/>
          <w:szCs w:val="32"/>
        </w:rPr>
        <w:t>197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92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亿元。其中，京津冀重点项目</w:t>
      </w:r>
      <w:r>
        <w:rPr>
          <w:rFonts w:hint="eastAsia" w:ascii="Times New Roman" w:hAnsi="Times New Roman" w:eastAsia="仿宋_GB2312" w:cs="仿宋_GB2312"/>
          <w:sz w:val="32"/>
          <w:szCs w:val="32"/>
        </w:rPr>
        <w:t>48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个，协议投资额</w:t>
      </w:r>
      <w:r>
        <w:rPr>
          <w:rFonts w:hint="eastAsia" w:ascii="Times New Roman" w:hAnsi="Times New Roman" w:eastAsia="仿宋_GB2312" w:cs="仿宋_GB2312"/>
          <w:sz w:val="32"/>
          <w:szCs w:val="32"/>
        </w:rPr>
        <w:t>180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92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亿元。其中：签约北京地区重点项目</w:t>
      </w:r>
      <w:r>
        <w:rPr>
          <w:rFonts w:hint="eastAsia" w:ascii="Times New Roman" w:hAnsi="Times New Roman" w:eastAsia="仿宋_GB2312" w:cs="仿宋_GB2312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个，协议投资额</w:t>
      </w:r>
      <w:r>
        <w:rPr>
          <w:rFonts w:hint="eastAsia" w:ascii="Times New Roman" w:hAnsi="Times New Roman" w:eastAsia="仿宋_GB2312" w:cs="仿宋_GB2312"/>
          <w:sz w:val="32"/>
          <w:szCs w:val="32"/>
        </w:rPr>
        <w:t>177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72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亿元；签约天津地区重点项目</w:t>
      </w:r>
      <w:r>
        <w:rPr>
          <w:rFonts w:hint="eastAsia" w:ascii="Times New Roman" w:hAnsi="Times New Roman" w:eastAsia="仿宋_GB2312" w:cs="仿宋_GB2312"/>
          <w:sz w:val="32"/>
          <w:szCs w:val="32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个，协议投资额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亿元；签约河北地区重点项目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个，协议投资额</w:t>
      </w:r>
      <w:r>
        <w:rPr>
          <w:rFonts w:hint="eastAsia" w:ascii="Times New Roman" w:hAnsi="Times New Roman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八、财政金融</w:t>
      </w:r>
    </w:p>
    <w:p>
      <w:pPr>
        <w:pStyle w:val="5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楷体" w:hAnsi="楷体" w:eastAsia="楷体" w:cs="楷体"/>
          <w:kern w:val="2"/>
          <w:sz w:val="32"/>
          <w:szCs w:val="32"/>
        </w:rPr>
        <w:t>财税结构进一步优化。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全年全区一般公共预算收入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22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52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亿元,其中税收收入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35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亿元，占一般公共预算收入的比重为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54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%。从主体税种看，增值税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79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亿元，企业所得税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51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亿元，个人所得税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44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亿元。全年一般公共预算支出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115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亿元。其中，社会保障和就业支出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亿元，教育支出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25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03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亿元，卫生健康支出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</w:rPr>
        <w:t>06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亿元。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存、贷款余额增速强劲。</w:t>
      </w:r>
      <w:r>
        <w:rPr>
          <w:rFonts w:hint="eastAsia" w:ascii="仿宋_GB2312" w:hAnsi="仿宋_GB2312" w:eastAsia="仿宋_GB2312" w:cs="仿宋_GB2312"/>
          <w:sz w:val="32"/>
          <w:szCs w:val="32"/>
        </w:rPr>
        <w:t>年末中资金融机构本外币各项存款余额</w:t>
      </w:r>
      <w:r>
        <w:rPr>
          <w:rFonts w:hint="eastAsia" w:ascii="Times New Roman" w:hAnsi="Times New Roman" w:eastAsia="仿宋_GB2312" w:cs="仿宋_GB2312"/>
          <w:sz w:val="32"/>
          <w:szCs w:val="32"/>
        </w:rPr>
        <w:t>654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55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%。各项贷款余额</w:t>
      </w:r>
      <w:r>
        <w:rPr>
          <w:rFonts w:hint="eastAsia" w:ascii="Times New Roman" w:hAnsi="Times New Roman" w:eastAsia="仿宋_GB2312" w:cs="仿宋_GB2312"/>
          <w:sz w:val="32"/>
          <w:szCs w:val="32"/>
        </w:rPr>
        <w:t>629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49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九、居民收入和社会保障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居民生活水平稳步提升</w:t>
      </w:r>
      <w:r>
        <w:rPr>
          <w:rFonts w:hint="eastAsia" w:ascii="黑体" w:hAnsi="黑体" w:eastAsia="黑体" w:cs="黑体"/>
          <w:sz w:val="32"/>
          <w:szCs w:val="32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全年</w:t>
      </w:r>
      <w:r>
        <w:rPr>
          <w:rFonts w:hint="eastAsia" w:ascii="仿宋_GB2312" w:hAnsi="仿宋_GB2312" w:eastAsia="仿宋_GB2312" w:cs="仿宋_GB2312"/>
          <w:sz w:val="32"/>
          <w:szCs w:val="32"/>
        </w:rPr>
        <w:t>全区居民人均可支配收入</w:t>
      </w:r>
      <w:r>
        <w:rPr>
          <w:rFonts w:hint="eastAsia" w:ascii="Times New Roman" w:hAnsi="Times New Roman" w:eastAsia="仿宋_GB2312" w:cs="仿宋_GB2312"/>
          <w:sz w:val="32"/>
          <w:szCs w:val="32"/>
        </w:rPr>
        <w:t>32008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%。其中，城镇居民人均可支配收入</w:t>
      </w:r>
      <w:r>
        <w:rPr>
          <w:rFonts w:hint="eastAsia" w:ascii="Times New Roman" w:hAnsi="Times New Roman" w:eastAsia="仿宋_GB2312" w:cs="仿宋_GB2312"/>
          <w:sz w:val="32"/>
          <w:szCs w:val="32"/>
        </w:rPr>
        <w:t>39807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%；农村居民人均可支配收入</w:t>
      </w:r>
      <w:r>
        <w:rPr>
          <w:rFonts w:hint="eastAsia" w:ascii="Times New Roman" w:hAnsi="Times New Roman" w:eastAsia="仿宋_GB2312" w:cs="仿宋_GB2312"/>
          <w:sz w:val="32"/>
          <w:szCs w:val="32"/>
        </w:rPr>
        <w:t>26475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%。全区居民人均消费支出</w:t>
      </w:r>
      <w:r>
        <w:rPr>
          <w:rFonts w:hint="eastAsia" w:ascii="Times New Roman" w:hAnsi="Times New Roman" w:eastAsia="仿宋_GB2312" w:cs="仿宋_GB2312"/>
          <w:sz w:val="32"/>
          <w:szCs w:val="32"/>
        </w:rPr>
        <w:t>22312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%。其中，城镇居民人均消费支出</w:t>
      </w:r>
      <w:r>
        <w:rPr>
          <w:rFonts w:hint="eastAsia" w:ascii="Times New Roman" w:hAnsi="Times New Roman" w:eastAsia="仿宋_GB2312" w:cs="仿宋_GB2312"/>
          <w:sz w:val="32"/>
          <w:szCs w:val="32"/>
        </w:rPr>
        <w:t>27271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17.8</w:t>
      </w:r>
      <w:r>
        <w:rPr>
          <w:rFonts w:hint="eastAsia" w:ascii="仿宋_GB2312" w:hAnsi="仿宋_GB2312" w:eastAsia="仿宋_GB2312" w:cs="仿宋_GB2312"/>
          <w:sz w:val="32"/>
          <w:szCs w:val="32"/>
        </w:rPr>
        <w:t>%；农村居民人均消费支出</w:t>
      </w:r>
      <w:r>
        <w:rPr>
          <w:rFonts w:hint="eastAsia" w:ascii="Times New Roman" w:hAnsi="Times New Roman" w:eastAsia="仿宋_GB2312" w:cs="仿宋_GB2312"/>
          <w:sz w:val="32"/>
          <w:szCs w:val="32"/>
        </w:rPr>
        <w:t>18793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元，同比增长</w:t>
      </w:r>
      <w:r>
        <w:rPr>
          <w:rFonts w:hint="eastAsia" w:ascii="Times New Roman" w:hAnsi="Times New Roman" w:eastAsia="仿宋_GB2312" w:cs="仿宋_GB2312"/>
          <w:sz w:val="32"/>
          <w:szCs w:val="32"/>
        </w:rPr>
        <w:t>16.8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yellow"/>
        </w:rPr>
      </w:pPr>
      <w:r>
        <w:rPr>
          <w:rFonts w:hint="eastAsia" w:ascii="楷体" w:hAnsi="楷体" w:eastAsia="楷体" w:cs="楷体"/>
          <w:sz w:val="32"/>
          <w:szCs w:val="32"/>
        </w:rPr>
        <w:t>社会保障体系进一步完善。</w:t>
      </w:r>
      <w:r>
        <w:rPr>
          <w:rFonts w:hint="eastAsia" w:ascii="仿宋_GB2312" w:eastAsia="仿宋_GB2312"/>
          <w:sz w:val="32"/>
          <w:szCs w:val="32"/>
        </w:rPr>
        <w:t>截至年末，全区参加城镇职工基本养老保险人数</w:t>
      </w:r>
      <w:r>
        <w:rPr>
          <w:rFonts w:hint="eastAsia" w:ascii="Times New Roman" w:hAnsi="Times New Roman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万人，增长</w:t>
      </w:r>
      <w:r>
        <w:rPr>
          <w:rFonts w:hint="eastAsia" w:ascii="Times New Roman" w:hAnsi="Times New Roman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%；参加城乡居民养老保险参保人数</w:t>
      </w:r>
      <w:r>
        <w:rPr>
          <w:rFonts w:hint="eastAsia" w:ascii="Times New Roman" w:hAnsi="Times New Roman" w:eastAsia="仿宋_GB2312"/>
          <w:sz w:val="32"/>
          <w:szCs w:val="32"/>
        </w:rPr>
        <w:t>21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万人；参加城镇职工工伤保险人数</w:t>
      </w:r>
      <w:r>
        <w:rPr>
          <w:rFonts w:hint="eastAsia" w:ascii="Times New Roman" w:hAnsi="Times New Roman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万人，增长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%；参加城镇职工失业保险人数</w:t>
      </w:r>
      <w:r>
        <w:rPr>
          <w:rFonts w:hint="eastAsia" w:ascii="Times New Roman" w:hAnsi="Times New Roman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万人，同比增长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%；城乡居民养老保障覆盖</w:t>
      </w:r>
      <w:r>
        <w:rPr>
          <w:rFonts w:hint="eastAsia" w:ascii="Times New Roman" w:hAnsi="Times New Roman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96</w:t>
      </w:r>
      <w:r>
        <w:rPr>
          <w:rFonts w:hint="eastAsia" w:ascii="仿宋_GB2312" w:eastAsia="仿宋_GB2312"/>
          <w:sz w:val="32"/>
          <w:szCs w:val="32"/>
        </w:rPr>
        <w:t>万人，其中，企业职工养老保险新参保</w:t>
      </w:r>
      <w:r>
        <w:rPr>
          <w:rFonts w:hint="eastAsia" w:ascii="Times New Roman" w:hAnsi="Times New Roman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99</w:t>
      </w:r>
      <w:r>
        <w:rPr>
          <w:rFonts w:hint="eastAsia" w:ascii="仿宋_GB2312" w:eastAsia="仿宋_GB2312"/>
          <w:sz w:val="32"/>
          <w:szCs w:val="32"/>
        </w:rPr>
        <w:t>万人。发放老年人生活费补助</w:t>
      </w: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28</w:t>
      </w:r>
      <w:r>
        <w:rPr>
          <w:rFonts w:hint="eastAsia" w:ascii="仿宋_GB2312" w:eastAsia="仿宋_GB2312"/>
          <w:sz w:val="32"/>
          <w:szCs w:val="32"/>
        </w:rPr>
        <w:t>亿元。失业保险金提到每人每月</w:t>
      </w:r>
      <w:r>
        <w:rPr>
          <w:rFonts w:hint="eastAsia" w:ascii="Times New Roman" w:hAnsi="Times New Roman" w:eastAsia="仿宋_GB2312"/>
          <w:sz w:val="32"/>
          <w:szCs w:val="32"/>
        </w:rPr>
        <w:t>1510</w:t>
      </w:r>
      <w:r>
        <w:rPr>
          <w:rFonts w:hint="eastAsia" w:ascii="仿宋_GB2312" w:eastAsia="仿宋_GB2312"/>
          <w:sz w:val="32"/>
          <w:szCs w:val="32"/>
        </w:rPr>
        <w:t>元，发放失业保险金</w:t>
      </w:r>
      <w:r>
        <w:rPr>
          <w:rFonts w:hint="eastAsia" w:ascii="Times New Roman" w:hAnsi="Times New Roman" w:eastAsia="仿宋_GB2312"/>
          <w:sz w:val="32"/>
          <w:szCs w:val="32"/>
        </w:rPr>
        <w:t>3470</w:t>
      </w:r>
      <w:r>
        <w:rPr>
          <w:rFonts w:hint="eastAsia" w:ascii="仿宋_GB2312" w:eastAsia="仿宋_GB2312"/>
          <w:sz w:val="32"/>
          <w:szCs w:val="32"/>
        </w:rPr>
        <w:t>万元。参加城乡居民基本医疗保险人数</w:t>
      </w:r>
      <w:r>
        <w:rPr>
          <w:rFonts w:hint="eastAsia" w:ascii="Times New Roman" w:hAnsi="Times New Roman" w:eastAsia="仿宋_GB2312"/>
          <w:sz w:val="32"/>
          <w:szCs w:val="32"/>
        </w:rPr>
        <w:t>63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07</w:t>
      </w:r>
      <w:r>
        <w:rPr>
          <w:rFonts w:hint="eastAsia" w:ascii="仿宋_GB2312" w:eastAsia="仿宋_GB2312"/>
          <w:sz w:val="32"/>
          <w:szCs w:val="32"/>
        </w:rPr>
        <w:t>万人，同比下降</w:t>
      </w:r>
      <w:r>
        <w:rPr>
          <w:rFonts w:hint="eastAsia" w:ascii="Times New Roman" w:hAnsi="Times New Roman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十、教育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狠抓“双减”政策落实落细落地。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全区182所义务教育阶段学校全部开展课后服务，参加学生79879人，参与率94.81%，实现了义务教育学校和有意愿参加课后服务学生两个“全覆盖”。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楷体" w:hAnsi="楷体" w:eastAsia="楷体" w:cs="楷体"/>
          <w:sz w:val="32"/>
          <w:szCs w:val="32"/>
        </w:rPr>
        <w:t>教育事业均衡发展。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截至年末，全区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学校招生</w:t>
      </w:r>
      <w:r>
        <w:rPr>
          <w:rFonts w:hint="eastAsia" w:ascii="Times New Roman" w:hAnsi="Times New Roman" w:eastAsia="仿宋_GB2312" w:cs="仿宋_GB2312"/>
          <w:sz w:val="32"/>
          <w:szCs w:val="32"/>
        </w:rPr>
        <w:t>25084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人，毕业生</w:t>
      </w:r>
      <w:r>
        <w:rPr>
          <w:rFonts w:hint="eastAsia" w:ascii="Times New Roman" w:hAnsi="Times New Roman" w:eastAsia="仿宋_GB2312" w:cs="仿宋_GB2312"/>
          <w:sz w:val="32"/>
          <w:szCs w:val="32"/>
        </w:rPr>
        <w:t>25405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人。其中，高级中学招生</w:t>
      </w:r>
      <w:r>
        <w:rPr>
          <w:rFonts w:hint="eastAsia" w:ascii="Times New Roman" w:hAnsi="Times New Roman" w:eastAsia="仿宋_GB2312" w:cs="仿宋_GB2312"/>
          <w:sz w:val="32"/>
          <w:szCs w:val="32"/>
        </w:rPr>
        <w:t>3873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人，在校生</w:t>
      </w:r>
      <w:r>
        <w:rPr>
          <w:rFonts w:hint="eastAsia" w:ascii="Times New Roman" w:hAnsi="Times New Roman" w:eastAsia="仿宋_GB2312" w:cs="仿宋_GB2312"/>
          <w:sz w:val="32"/>
          <w:szCs w:val="32"/>
        </w:rPr>
        <w:t>11360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人，毕业生</w:t>
      </w:r>
      <w:r>
        <w:rPr>
          <w:rFonts w:hint="eastAsia" w:ascii="Times New Roman" w:hAnsi="Times New Roman" w:eastAsia="仿宋_GB2312" w:cs="仿宋_GB2312"/>
          <w:sz w:val="32"/>
          <w:szCs w:val="32"/>
        </w:rPr>
        <w:t>3294</w:t>
      </w:r>
      <w:r>
        <w:rPr>
          <w:rFonts w:hint="eastAsia" w:ascii="仿宋_GB2312" w:hAnsi="仿宋_GB2312" w:eastAsia="仿宋_GB2312" w:cs="仿宋_GB2312"/>
          <w:sz w:val="32"/>
          <w:szCs w:val="32"/>
        </w:rPr>
        <w:t>人；中等职业学校招生</w:t>
      </w:r>
      <w:r>
        <w:rPr>
          <w:rFonts w:hint="eastAsia" w:ascii="Times New Roman" w:hAnsi="Times New Roman" w:eastAsia="仿宋_GB2312" w:cs="仿宋_GB2312"/>
          <w:sz w:val="32"/>
          <w:szCs w:val="32"/>
        </w:rPr>
        <w:t>1393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人，在校生</w:t>
      </w:r>
      <w:r>
        <w:rPr>
          <w:rFonts w:hint="eastAsia" w:ascii="Times New Roman" w:hAnsi="Times New Roman" w:eastAsia="仿宋_GB2312" w:cs="仿宋_GB2312"/>
          <w:sz w:val="32"/>
          <w:szCs w:val="32"/>
        </w:rPr>
        <w:t>3902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人，毕业生</w:t>
      </w:r>
      <w:r>
        <w:rPr>
          <w:rFonts w:hint="eastAsia" w:ascii="Times New Roman" w:hAnsi="Times New Roman" w:eastAsia="仿宋_GB2312" w:cs="仿宋_GB2312"/>
          <w:sz w:val="32"/>
          <w:szCs w:val="32"/>
        </w:rPr>
        <w:t>1518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人。学前三年毛入园率达</w:t>
      </w:r>
      <w:r>
        <w:rPr>
          <w:rFonts w:hint="eastAsia" w:ascii="Times New Roman" w:hAnsi="Times New Roman" w:eastAsia="仿宋_GB2312" w:cs="仿宋_GB2312"/>
          <w:sz w:val="32"/>
          <w:szCs w:val="32"/>
        </w:rPr>
        <w:t>92.1</w:t>
      </w:r>
      <w:r>
        <w:rPr>
          <w:rFonts w:hint="eastAsia" w:ascii="仿宋_GB2312" w:hAnsi="仿宋_GB2312" w:eastAsia="仿宋_GB2312" w:cs="仿宋_GB2312"/>
          <w:sz w:val="32"/>
          <w:szCs w:val="32"/>
        </w:rPr>
        <w:t>%；初中阶段毛入学率达</w:t>
      </w:r>
      <w:r>
        <w:rPr>
          <w:rFonts w:hint="eastAsia" w:ascii="Times New Roman" w:hAnsi="Times New Roman" w:eastAsia="仿宋_GB2312" w:cs="仿宋_GB2312"/>
          <w:sz w:val="32"/>
          <w:szCs w:val="32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%；高中阶段毛入学率达</w:t>
      </w:r>
      <w:r>
        <w:rPr>
          <w:rFonts w:hint="eastAsia" w:ascii="Times New Roman" w:hAnsi="Times New Roman" w:eastAsia="仿宋_GB2312" w:cs="仿宋_GB2312"/>
          <w:sz w:val="32"/>
          <w:szCs w:val="32"/>
        </w:rPr>
        <w:t>94.8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十一、文化、卫生和体育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全年全区有剧团</w:t>
      </w:r>
      <w:r>
        <w:rPr>
          <w:rFonts w:hint="eastAsia" w:ascii="Times New Roman" w:hAnsi="Times New Roman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个，演出场次达</w:t>
      </w:r>
      <w:r>
        <w:rPr>
          <w:rFonts w:hint="eastAsia" w:ascii="Times New Roman" w:hAnsi="Times New Roman" w:eastAsia="仿宋_GB2312" w:cs="仿宋_GB2312"/>
          <w:sz w:val="32"/>
          <w:szCs w:val="32"/>
        </w:rPr>
        <w:t>296</w:t>
      </w:r>
      <w:r>
        <w:rPr>
          <w:rFonts w:hint="eastAsia" w:ascii="仿宋_GB2312" w:hAnsi="仿宋_GB2312" w:eastAsia="仿宋_GB2312" w:cs="仿宋_GB2312"/>
          <w:sz w:val="32"/>
          <w:szCs w:val="32"/>
        </w:rPr>
        <w:t>场，接待观众达</w:t>
      </w:r>
      <w:r>
        <w:rPr>
          <w:rFonts w:hint="eastAsia" w:ascii="Times New Roman" w:hAnsi="Times New Roman" w:eastAsia="仿宋_GB2312" w:cs="仿宋_GB2312"/>
          <w:sz w:val="32"/>
          <w:szCs w:val="32"/>
        </w:rPr>
        <w:t>40.86</w:t>
      </w:r>
      <w:r>
        <w:rPr>
          <w:rFonts w:hint="eastAsia" w:ascii="仿宋_GB2312" w:hAnsi="仿宋_GB2312" w:eastAsia="仿宋_GB2312" w:cs="仿宋_GB2312"/>
          <w:sz w:val="32"/>
          <w:szCs w:val="32"/>
        </w:rPr>
        <w:t>万人次。年末全区有公共图书馆</w:t>
      </w:r>
      <w:r>
        <w:rPr>
          <w:rFonts w:hint="eastAsia" w:ascii="Times New Roman" w:hAnsi="Times New Roman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个，藏书</w:t>
      </w:r>
      <w:r>
        <w:rPr>
          <w:rFonts w:hint="eastAsia" w:ascii="Times New Roman" w:hAnsi="Times New Roman" w:eastAsia="仿宋_GB2312" w:cs="仿宋_GB2312"/>
          <w:sz w:val="32"/>
          <w:szCs w:val="32"/>
        </w:rPr>
        <w:t>36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万册；文化馆（站）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个；影剧院</w:t>
      </w:r>
      <w:r>
        <w:rPr>
          <w:rFonts w:hint="eastAsia" w:ascii="Times New Roman" w:hAnsi="Times New Roman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个，演出场次达</w:t>
      </w:r>
      <w:r>
        <w:rPr>
          <w:rFonts w:hint="eastAsia" w:ascii="Times New Roman" w:hAnsi="Times New Roman" w:eastAsia="仿宋_GB2312" w:cs="仿宋_GB2312"/>
          <w:sz w:val="32"/>
          <w:szCs w:val="32"/>
        </w:rPr>
        <w:t>5653</w:t>
      </w:r>
      <w:r>
        <w:rPr>
          <w:rFonts w:hint="eastAsia" w:ascii="仿宋_GB2312" w:hAnsi="仿宋_GB2312" w:eastAsia="仿宋_GB2312" w:cs="仿宋_GB2312"/>
          <w:sz w:val="32"/>
          <w:szCs w:val="32"/>
        </w:rPr>
        <w:t>场，接待观众达</w:t>
      </w:r>
      <w:r>
        <w:rPr>
          <w:rFonts w:hint="eastAsia" w:ascii="Times New Roman" w:hAnsi="Times New Roman" w:eastAsia="仿宋_GB2312" w:cs="仿宋_GB2312"/>
          <w:sz w:val="32"/>
          <w:szCs w:val="32"/>
        </w:rPr>
        <w:t>6.73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万人次。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截至年末，全区共有医疗卫生机构</w:t>
      </w:r>
      <w:r>
        <w:rPr>
          <w:rFonts w:hint="eastAsia" w:ascii="Times New Roman" w:hAnsi="Times New Roman" w:eastAsia="仿宋_GB2312" w:cs="仿宋_GB2312"/>
          <w:sz w:val="32"/>
          <w:szCs w:val="32"/>
        </w:rPr>
        <w:t>749</w:t>
      </w:r>
      <w:r>
        <w:rPr>
          <w:rFonts w:hint="eastAsia" w:ascii="仿宋_GB2312" w:hAnsi="仿宋_GB2312" w:eastAsia="仿宋_GB2312" w:cs="仿宋_GB2312"/>
          <w:sz w:val="32"/>
          <w:szCs w:val="32"/>
        </w:rPr>
        <w:t>个；基层医疗卫生机构</w:t>
      </w:r>
      <w:r>
        <w:rPr>
          <w:rFonts w:hint="eastAsia" w:ascii="Times New Roman" w:hAnsi="Times New Roman" w:eastAsia="仿宋_GB2312" w:cs="仿宋_GB2312"/>
          <w:sz w:val="32"/>
          <w:szCs w:val="32"/>
        </w:rPr>
        <w:t>728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个，其中，乡镇卫生院</w:t>
      </w:r>
      <w:r>
        <w:rPr>
          <w:rFonts w:hint="eastAsia" w:ascii="Times New Roman" w:hAnsi="Times New Roman" w:eastAsia="仿宋_GB2312" w:cs="仿宋_GB2312"/>
          <w:sz w:val="32"/>
          <w:szCs w:val="32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个，社区卫生服务中心（站）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个，门诊部</w:t>
      </w:r>
      <w:r>
        <w:rPr>
          <w:rFonts w:hint="eastAsia" w:ascii="Times New Roman" w:hAnsi="Times New Roman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个，村卫生室</w:t>
      </w:r>
      <w:r>
        <w:rPr>
          <w:rFonts w:hint="eastAsia" w:ascii="Times New Roman" w:hAnsi="Times New Roman" w:eastAsia="仿宋_GB2312" w:cs="仿宋_GB2312"/>
          <w:sz w:val="32"/>
          <w:szCs w:val="32"/>
        </w:rPr>
        <w:t>548</w:t>
      </w:r>
      <w:r>
        <w:rPr>
          <w:rFonts w:hint="eastAsia" w:ascii="仿宋_GB2312" w:hAnsi="仿宋_GB2312" w:eastAsia="仿宋_GB2312" w:cs="仿宋_GB2312"/>
          <w:sz w:val="32"/>
          <w:szCs w:val="32"/>
        </w:rPr>
        <w:t>个；年末卫生技术人员</w:t>
      </w:r>
      <w:r>
        <w:rPr>
          <w:rFonts w:hint="eastAsia" w:ascii="Times New Roman" w:hAnsi="Times New Roman" w:eastAsia="仿宋_GB2312" w:cs="仿宋_GB2312"/>
          <w:sz w:val="32"/>
          <w:szCs w:val="32"/>
        </w:rPr>
        <w:t>5345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人，其中执业医师和执业助理医师</w:t>
      </w:r>
      <w:r>
        <w:rPr>
          <w:rFonts w:hint="eastAsia" w:ascii="Times New Roman" w:hAnsi="Times New Roman" w:eastAsia="仿宋_GB2312" w:cs="仿宋_GB2312"/>
          <w:sz w:val="32"/>
          <w:szCs w:val="32"/>
        </w:rPr>
        <w:t>2314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人，注册护士</w:t>
      </w:r>
      <w:r>
        <w:rPr>
          <w:rFonts w:hint="eastAsia" w:ascii="Times New Roman" w:hAnsi="Times New Roman" w:eastAsia="仿宋_GB2312" w:cs="仿宋_GB2312"/>
          <w:sz w:val="32"/>
          <w:szCs w:val="32"/>
        </w:rPr>
        <w:t>1251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人。医疗卫生机构床位</w:t>
      </w:r>
      <w:r>
        <w:rPr>
          <w:rFonts w:hint="eastAsia" w:ascii="Times New Roman" w:hAnsi="Times New Roman" w:eastAsia="仿宋_GB2312" w:cs="仿宋_GB2312"/>
          <w:sz w:val="32"/>
          <w:szCs w:val="32"/>
        </w:rPr>
        <w:t>2029</w:t>
      </w:r>
      <w:r>
        <w:rPr>
          <w:rFonts w:hint="eastAsia" w:ascii="仿宋_GB2312" w:hAnsi="仿宋_GB2312" w:eastAsia="仿宋_GB2312" w:cs="仿宋_GB2312"/>
          <w:sz w:val="32"/>
          <w:szCs w:val="32"/>
        </w:rPr>
        <w:t>张，其中医院</w:t>
      </w:r>
      <w:r>
        <w:rPr>
          <w:rFonts w:hint="eastAsia" w:ascii="Times New Roman" w:hAnsi="Times New Roman" w:eastAsia="仿宋_GB2312" w:cs="仿宋_GB2312"/>
          <w:sz w:val="32"/>
          <w:szCs w:val="32"/>
        </w:rPr>
        <w:t>1285</w:t>
      </w:r>
      <w:r>
        <w:rPr>
          <w:rFonts w:hint="eastAsia" w:ascii="仿宋_GB2312" w:hAnsi="仿宋_GB2312" w:eastAsia="仿宋_GB2312" w:cs="仿宋_GB2312"/>
          <w:sz w:val="32"/>
          <w:szCs w:val="32"/>
        </w:rPr>
        <w:t>张，乡镇卫生院</w:t>
      </w:r>
      <w:r>
        <w:rPr>
          <w:rFonts w:hint="eastAsia" w:ascii="Times New Roman" w:hAnsi="Times New Roman" w:eastAsia="仿宋_GB2312" w:cs="仿宋_GB2312"/>
          <w:sz w:val="32"/>
          <w:szCs w:val="32"/>
        </w:rPr>
        <w:t>740</w:t>
      </w:r>
      <w:r>
        <w:rPr>
          <w:rFonts w:hint="eastAsia" w:ascii="仿宋_GB2312" w:hAnsi="仿宋_GB2312" w:eastAsia="仿宋_GB2312" w:cs="仿宋_GB2312"/>
          <w:sz w:val="32"/>
          <w:szCs w:val="32"/>
        </w:rPr>
        <w:t>张。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年末全区共有体育场地</w:t>
      </w:r>
      <w:r>
        <w:rPr>
          <w:rFonts w:hint="eastAsia" w:ascii="Times New Roman" w:hAnsi="Times New Roman" w:eastAsia="仿宋_GB2312" w:cs="仿宋_GB2312"/>
          <w:sz w:val="32"/>
          <w:szCs w:val="32"/>
        </w:rPr>
        <w:t>1418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个，体育场地面积</w:t>
      </w:r>
      <w:r>
        <w:rPr>
          <w:rFonts w:hint="eastAsia" w:ascii="Times New Roman" w:hAnsi="Times New Roman" w:eastAsia="仿宋_GB2312" w:cs="仿宋_GB2312"/>
          <w:sz w:val="32"/>
          <w:szCs w:val="32"/>
        </w:rPr>
        <w:t>268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</w:rPr>
        <w:t>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万平方米。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年，全区</w:t>
      </w:r>
      <w:r>
        <w:rPr>
          <w:rFonts w:hint="eastAsia" w:ascii="仿宋" w:hAnsi="仿宋" w:eastAsia="仿宋"/>
          <w:sz w:val="32"/>
          <w:szCs w:val="32"/>
        </w:rPr>
        <w:t>组织了庆祝中国共产党成立</w:t>
      </w:r>
      <w:r>
        <w:rPr>
          <w:rFonts w:hint="eastAsia" w:ascii="Times New Roman" w:hAnsi="Times New Roman" w:eastAsia="仿宋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周年系列活动启动仪式，举办了庆祝中国共产党成立</w:t>
      </w:r>
      <w:r>
        <w:rPr>
          <w:rFonts w:hint="eastAsia" w:ascii="Times New Roman" w:hAnsi="Times New Roman" w:eastAsia="仿宋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周年传统武术交流大赛，毽球、足球、篮球、台球比赛；全国“小米高飞”轮滑巡回赛—蓟州站比赛；蓟州区“全兴杯”中式台球公开赛；“茅台王子杯”乒乓球大赛；永远跟党走</w:t>
      </w:r>
      <w:r>
        <w:rPr>
          <w:rFonts w:hint="eastAsia" w:ascii="仿宋"/>
          <w:sz w:val="32"/>
          <w:szCs w:val="32"/>
        </w:rPr>
        <w:t>•</w:t>
      </w:r>
      <w:r>
        <w:rPr>
          <w:rFonts w:hint="eastAsia" w:ascii="仿宋" w:hAnsi="仿宋" w:eastAsia="仿宋"/>
          <w:sz w:val="32"/>
          <w:szCs w:val="32"/>
        </w:rPr>
        <w:t>津城行“中国银行杯”</w:t>
      </w:r>
      <w:r>
        <w:rPr>
          <w:rFonts w:hint="eastAsia" w:ascii="Times New Roman" w:hAnsi="Times New Roman" w:eastAsia="仿宋"/>
          <w:sz w:val="32"/>
          <w:szCs w:val="32"/>
        </w:rPr>
        <w:t>2021</w:t>
      </w:r>
      <w:r>
        <w:rPr>
          <w:rFonts w:hint="eastAsia" w:ascii="仿宋" w:hAnsi="仿宋" w:eastAsia="仿宋"/>
          <w:sz w:val="32"/>
          <w:szCs w:val="32"/>
        </w:rPr>
        <w:t>年天津百万市民健步大会；</w:t>
      </w:r>
      <w:r>
        <w:rPr>
          <w:rFonts w:hint="eastAsia" w:ascii="Times New Roman" w:hAnsi="Times New Roman" w:eastAsia="仿宋"/>
          <w:sz w:val="32"/>
          <w:szCs w:val="32"/>
        </w:rPr>
        <w:t>2021</w:t>
      </w:r>
      <w:r>
        <w:rPr>
          <w:rFonts w:hint="eastAsia" w:ascii="仿宋" w:hAnsi="仿宋" w:eastAsia="仿宋"/>
          <w:sz w:val="32"/>
          <w:szCs w:val="32"/>
        </w:rPr>
        <w:t>年“奔跑吧</w:t>
      </w:r>
      <w:r>
        <w:rPr>
          <w:rFonts w:hint="eastAsia" w:ascii="仿宋"/>
          <w:sz w:val="32"/>
          <w:szCs w:val="32"/>
        </w:rPr>
        <w:t>•</w:t>
      </w:r>
      <w:r>
        <w:rPr>
          <w:rFonts w:hint="eastAsia" w:ascii="仿宋" w:hAnsi="仿宋" w:eastAsia="仿宋"/>
          <w:sz w:val="32"/>
          <w:szCs w:val="32"/>
        </w:rPr>
        <w:t>少年”儿童青少年主题健身活动蓟州区残疾人（儿童）趣味运动会等赛事活动。</w:t>
      </w:r>
      <w:r>
        <w:rPr>
          <w:rFonts w:hint="eastAsia" w:ascii="Times New Roman" w:hAnsi="Times New Roman" w:eastAsia="仿宋"/>
          <w:sz w:val="32"/>
          <w:szCs w:val="32"/>
        </w:rPr>
        <w:t>2021</w:t>
      </w:r>
      <w:r>
        <w:rPr>
          <w:rFonts w:hint="eastAsia" w:ascii="仿宋" w:hAnsi="仿宋" w:eastAsia="仿宋"/>
          <w:sz w:val="32"/>
          <w:szCs w:val="32"/>
        </w:rPr>
        <w:t>年全区达国家一级运动员等级</w:t>
      </w:r>
      <w:r>
        <w:rPr>
          <w:rFonts w:hint="eastAsia" w:ascii="Times New Roman" w:hAnsi="Times New Roman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人，达国家二级运动员等级</w:t>
      </w:r>
      <w:r>
        <w:rPr>
          <w:rFonts w:hint="eastAsia" w:ascii="Times New Roman" w:hAnsi="Times New Roman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人，向市体校输送后备人才</w:t>
      </w:r>
      <w:r>
        <w:rPr>
          <w:rFonts w:hint="eastAsia" w:ascii="Times New Roman" w:hAnsi="Times New Roman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人。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十二、生态环境</w:t>
      </w:r>
    </w:p>
    <w:p>
      <w:pPr>
        <w:spacing w:line="560" w:lineRule="exact"/>
        <w:ind w:firstLine="604" w:firstLineChars="189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年末，全</w:t>
      </w:r>
      <w:r>
        <w:rPr>
          <w:rFonts w:ascii="Times New Roman" w:hAnsi="Times New Roman" w:eastAsia="仿宋_GB2312" w:cs="Times New Roman"/>
          <w:sz w:val="32"/>
          <w:szCs w:val="32"/>
        </w:rPr>
        <w:t>区自然保护区3个，其中，国家级自然保护区2个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天津市蓟县中上元古界国家自然保护区、天津八仙山国家级自然保护区；市级自然保护区1个：天津盘山风景名胜古迹自然保护区。2021年，污染防治成效显著。PM2.5平均浓度36微克/立方米，比上年下降10%，优良天数比例76.1%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比上年</w:t>
      </w:r>
      <w:r>
        <w:rPr>
          <w:rFonts w:ascii="Times New Roman" w:hAnsi="Times New Roman" w:eastAsia="仿宋_GB2312" w:cs="Times New Roman"/>
          <w:sz w:val="32"/>
          <w:szCs w:val="32"/>
        </w:rPr>
        <w:t>提高5.9个百分点。</w:t>
      </w: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1.本公报中数据均为初步统计数。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全区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生产总值、各产业增加值绝对数按现价计算,增长速度按可比价格计算。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3.规模以上工业企业是指年主营业务收入200万元及以上的全部法人工业企业。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规模以上服务业企业是指年营业收入1000万元及以上,或年末从业人员50人及以上的交通运输、仓储和邮政业,信息传输、软件和信息技术服务业,房地产业(不含房地产开发经营),租赁和商务服务业,科学研究和技术服务业,水利、环境和公共设施管理业,教育,卫生和社会工作法人单位;年营业收入500万元及以上,或年末从业人员50人及以上的居民服务、修理和其他服务业,文化、体育和娱乐业法人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.限额以上批发业企业是指年主营业务收入2000万元及以上的批发业企业;限额以上零售业企业是指年主营业务收入500万元及以上的零售业企业;限额以上住宿和餐饮业企业是指年主营业务收入20万元及以上的住宿和餐饮业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6.固定资产投资(不含农户)统计口径范围为计划总投资50万元及以上的固定资产项目投资及全部房地产开发项目投资。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资料来源: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本公报中进出口数据来自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蓟州区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商务局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利用内资数据来自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蓟州区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人民政府合作交流办公室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财政数据来自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蓟州区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财政局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人才、新增就业、社会保障数据来自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蓟州区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人力资源和社会保障局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社保分中心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医疗保险数据来自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蓟州区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医疗保障局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文化设施、旅游数据来自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蓟州区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文化和旅游局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教育数据来自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蓟州区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教育委员会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医疗卫生数据来自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蓟州区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卫生健康委员会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体育事业数据来自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蓟州区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体育局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环境保护数据来自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蓟州区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生态环境局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其他数据来自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蓟州区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统计局、国家统计局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蓟州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调查总队。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1602775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hODg3YmI3YmU2YzJjNjVmYjQ4NzdjODdlOGJlODUifQ=="/>
  </w:docVars>
  <w:rsids>
    <w:rsidRoot w:val="00175531"/>
    <w:rsid w:val="00002F1D"/>
    <w:rsid w:val="00040D48"/>
    <w:rsid w:val="000870C8"/>
    <w:rsid w:val="00120078"/>
    <w:rsid w:val="0015225A"/>
    <w:rsid w:val="0017133D"/>
    <w:rsid w:val="00175531"/>
    <w:rsid w:val="001F7055"/>
    <w:rsid w:val="00214288"/>
    <w:rsid w:val="0022582F"/>
    <w:rsid w:val="0023211C"/>
    <w:rsid w:val="00232C57"/>
    <w:rsid w:val="002609CF"/>
    <w:rsid w:val="002765F2"/>
    <w:rsid w:val="00285670"/>
    <w:rsid w:val="002B316C"/>
    <w:rsid w:val="00310B36"/>
    <w:rsid w:val="003E0006"/>
    <w:rsid w:val="00404888"/>
    <w:rsid w:val="00480280"/>
    <w:rsid w:val="00487475"/>
    <w:rsid w:val="004C6944"/>
    <w:rsid w:val="00524626"/>
    <w:rsid w:val="00551BC7"/>
    <w:rsid w:val="005530F4"/>
    <w:rsid w:val="00580DBD"/>
    <w:rsid w:val="00581E01"/>
    <w:rsid w:val="005C7238"/>
    <w:rsid w:val="005D769C"/>
    <w:rsid w:val="005D7B97"/>
    <w:rsid w:val="006008FC"/>
    <w:rsid w:val="0062519D"/>
    <w:rsid w:val="00632F81"/>
    <w:rsid w:val="00634F03"/>
    <w:rsid w:val="006470DD"/>
    <w:rsid w:val="0068692C"/>
    <w:rsid w:val="006E617E"/>
    <w:rsid w:val="007019AD"/>
    <w:rsid w:val="00715E5F"/>
    <w:rsid w:val="00725A88"/>
    <w:rsid w:val="007623F2"/>
    <w:rsid w:val="007B7B78"/>
    <w:rsid w:val="007F4E66"/>
    <w:rsid w:val="0080095F"/>
    <w:rsid w:val="0087712F"/>
    <w:rsid w:val="008A7985"/>
    <w:rsid w:val="008B4CEC"/>
    <w:rsid w:val="008C4620"/>
    <w:rsid w:val="008C7BE5"/>
    <w:rsid w:val="008E2DEA"/>
    <w:rsid w:val="00913B29"/>
    <w:rsid w:val="00922B4C"/>
    <w:rsid w:val="00941FC9"/>
    <w:rsid w:val="00961097"/>
    <w:rsid w:val="00964478"/>
    <w:rsid w:val="00990D32"/>
    <w:rsid w:val="009A6DEB"/>
    <w:rsid w:val="009C642E"/>
    <w:rsid w:val="009E7F5C"/>
    <w:rsid w:val="00A003C4"/>
    <w:rsid w:val="00A144D8"/>
    <w:rsid w:val="00A44720"/>
    <w:rsid w:val="00A920DB"/>
    <w:rsid w:val="00A96AF9"/>
    <w:rsid w:val="00B129E0"/>
    <w:rsid w:val="00B433AF"/>
    <w:rsid w:val="00BB4424"/>
    <w:rsid w:val="00BB7889"/>
    <w:rsid w:val="00C02C17"/>
    <w:rsid w:val="00C04B8B"/>
    <w:rsid w:val="00C21707"/>
    <w:rsid w:val="00C936E2"/>
    <w:rsid w:val="00CC4EC7"/>
    <w:rsid w:val="00D31707"/>
    <w:rsid w:val="00D9084B"/>
    <w:rsid w:val="00DB0742"/>
    <w:rsid w:val="00DC1E42"/>
    <w:rsid w:val="00DC61B5"/>
    <w:rsid w:val="00EB3C36"/>
    <w:rsid w:val="00EC64E2"/>
    <w:rsid w:val="00EF1FDD"/>
    <w:rsid w:val="00EF6ABF"/>
    <w:rsid w:val="00F22FD5"/>
    <w:rsid w:val="00F76805"/>
    <w:rsid w:val="00F77F3E"/>
    <w:rsid w:val="00F92A79"/>
    <w:rsid w:val="00FC0362"/>
    <w:rsid w:val="01270A16"/>
    <w:rsid w:val="033A0EE6"/>
    <w:rsid w:val="03ED444F"/>
    <w:rsid w:val="050E236F"/>
    <w:rsid w:val="05253812"/>
    <w:rsid w:val="053239DE"/>
    <w:rsid w:val="05FF4171"/>
    <w:rsid w:val="061C626A"/>
    <w:rsid w:val="066E7569"/>
    <w:rsid w:val="07927288"/>
    <w:rsid w:val="090221EB"/>
    <w:rsid w:val="09203EB9"/>
    <w:rsid w:val="09482972"/>
    <w:rsid w:val="097525CD"/>
    <w:rsid w:val="0C400913"/>
    <w:rsid w:val="0CB33145"/>
    <w:rsid w:val="0CBE5160"/>
    <w:rsid w:val="0DAA3634"/>
    <w:rsid w:val="0F713C26"/>
    <w:rsid w:val="11473D3D"/>
    <w:rsid w:val="12A444E8"/>
    <w:rsid w:val="12BC631D"/>
    <w:rsid w:val="132F1E2E"/>
    <w:rsid w:val="136374D0"/>
    <w:rsid w:val="13765CAF"/>
    <w:rsid w:val="13CC6304"/>
    <w:rsid w:val="141F00F5"/>
    <w:rsid w:val="143D25DA"/>
    <w:rsid w:val="14A64372"/>
    <w:rsid w:val="15053175"/>
    <w:rsid w:val="152F7CBC"/>
    <w:rsid w:val="15B348B4"/>
    <w:rsid w:val="15CC6EFF"/>
    <w:rsid w:val="15F86E50"/>
    <w:rsid w:val="161F286C"/>
    <w:rsid w:val="165D6CB3"/>
    <w:rsid w:val="168C758A"/>
    <w:rsid w:val="16B32DC4"/>
    <w:rsid w:val="16DE1BA1"/>
    <w:rsid w:val="16F271C0"/>
    <w:rsid w:val="184C6FDF"/>
    <w:rsid w:val="18D27471"/>
    <w:rsid w:val="1978271D"/>
    <w:rsid w:val="19BA3D6D"/>
    <w:rsid w:val="1A642D06"/>
    <w:rsid w:val="1ABF1CEA"/>
    <w:rsid w:val="1B4C386F"/>
    <w:rsid w:val="1C2F2E9F"/>
    <w:rsid w:val="1F4A32FF"/>
    <w:rsid w:val="2093204F"/>
    <w:rsid w:val="20E24FCC"/>
    <w:rsid w:val="22631AF5"/>
    <w:rsid w:val="24C513B8"/>
    <w:rsid w:val="25295DB5"/>
    <w:rsid w:val="25BD48CA"/>
    <w:rsid w:val="263B705E"/>
    <w:rsid w:val="2685028B"/>
    <w:rsid w:val="27312345"/>
    <w:rsid w:val="275A34C6"/>
    <w:rsid w:val="279F659E"/>
    <w:rsid w:val="27BB7CDD"/>
    <w:rsid w:val="28866677"/>
    <w:rsid w:val="28B75523"/>
    <w:rsid w:val="295E4DC4"/>
    <w:rsid w:val="29B03871"/>
    <w:rsid w:val="29FF65A7"/>
    <w:rsid w:val="2A766447"/>
    <w:rsid w:val="2B3D4992"/>
    <w:rsid w:val="2BDB2782"/>
    <w:rsid w:val="2C755D0D"/>
    <w:rsid w:val="2CE102D4"/>
    <w:rsid w:val="2DA60AE7"/>
    <w:rsid w:val="2DE25FC3"/>
    <w:rsid w:val="2E12491C"/>
    <w:rsid w:val="2E5F3076"/>
    <w:rsid w:val="2F0106CB"/>
    <w:rsid w:val="2FDC552D"/>
    <w:rsid w:val="314174A5"/>
    <w:rsid w:val="31B81BE5"/>
    <w:rsid w:val="32295A9A"/>
    <w:rsid w:val="323922EC"/>
    <w:rsid w:val="32EC5D21"/>
    <w:rsid w:val="33122EA7"/>
    <w:rsid w:val="33EF31E8"/>
    <w:rsid w:val="372907BF"/>
    <w:rsid w:val="37BB72AC"/>
    <w:rsid w:val="382221C6"/>
    <w:rsid w:val="38F417C2"/>
    <w:rsid w:val="3932146F"/>
    <w:rsid w:val="3A726921"/>
    <w:rsid w:val="3A993EAE"/>
    <w:rsid w:val="3AB5795C"/>
    <w:rsid w:val="3BBA7AA0"/>
    <w:rsid w:val="3C8D3617"/>
    <w:rsid w:val="3D163594"/>
    <w:rsid w:val="3D46761A"/>
    <w:rsid w:val="3D990C8D"/>
    <w:rsid w:val="3E431692"/>
    <w:rsid w:val="3EF9316D"/>
    <w:rsid w:val="400F00E4"/>
    <w:rsid w:val="40B66998"/>
    <w:rsid w:val="4151103E"/>
    <w:rsid w:val="41F8770C"/>
    <w:rsid w:val="43BD2E56"/>
    <w:rsid w:val="43C84F50"/>
    <w:rsid w:val="457C5F26"/>
    <w:rsid w:val="458F33E6"/>
    <w:rsid w:val="462F1C33"/>
    <w:rsid w:val="46A05541"/>
    <w:rsid w:val="474037FB"/>
    <w:rsid w:val="4750669E"/>
    <w:rsid w:val="490231AB"/>
    <w:rsid w:val="494F67AB"/>
    <w:rsid w:val="49E82739"/>
    <w:rsid w:val="4B2824E9"/>
    <w:rsid w:val="4B39053B"/>
    <w:rsid w:val="4B6423A4"/>
    <w:rsid w:val="4B6928EF"/>
    <w:rsid w:val="4B9177DA"/>
    <w:rsid w:val="4D2407F9"/>
    <w:rsid w:val="4E17648E"/>
    <w:rsid w:val="4E4B3EEE"/>
    <w:rsid w:val="4F7F68E8"/>
    <w:rsid w:val="4F830E63"/>
    <w:rsid w:val="509E3B74"/>
    <w:rsid w:val="52137A92"/>
    <w:rsid w:val="53554581"/>
    <w:rsid w:val="546F6837"/>
    <w:rsid w:val="54741EC7"/>
    <w:rsid w:val="572551C1"/>
    <w:rsid w:val="57411DDB"/>
    <w:rsid w:val="57A053C8"/>
    <w:rsid w:val="59657925"/>
    <w:rsid w:val="597D4EE9"/>
    <w:rsid w:val="59C65690"/>
    <w:rsid w:val="5A494B51"/>
    <w:rsid w:val="5A700DA8"/>
    <w:rsid w:val="5B843B12"/>
    <w:rsid w:val="5B8D3163"/>
    <w:rsid w:val="5BA86AA9"/>
    <w:rsid w:val="5DC944B4"/>
    <w:rsid w:val="5ED95930"/>
    <w:rsid w:val="6082700E"/>
    <w:rsid w:val="61497B2C"/>
    <w:rsid w:val="61B956A8"/>
    <w:rsid w:val="62744735"/>
    <w:rsid w:val="657C227E"/>
    <w:rsid w:val="65F71905"/>
    <w:rsid w:val="68993147"/>
    <w:rsid w:val="691A6383"/>
    <w:rsid w:val="6922313D"/>
    <w:rsid w:val="6A3A44B6"/>
    <w:rsid w:val="6A8B3D7E"/>
    <w:rsid w:val="6ACF2E50"/>
    <w:rsid w:val="6B583569"/>
    <w:rsid w:val="6B9E2F8E"/>
    <w:rsid w:val="6BA53BB1"/>
    <w:rsid w:val="6C07661A"/>
    <w:rsid w:val="6D0F1C2A"/>
    <w:rsid w:val="6E304DFC"/>
    <w:rsid w:val="70524F5E"/>
    <w:rsid w:val="71794CEA"/>
    <w:rsid w:val="71AC5F03"/>
    <w:rsid w:val="71CD3E62"/>
    <w:rsid w:val="73AC6367"/>
    <w:rsid w:val="74E777A5"/>
    <w:rsid w:val="772E4B49"/>
    <w:rsid w:val="775F3697"/>
    <w:rsid w:val="77756758"/>
    <w:rsid w:val="78EA70A7"/>
    <w:rsid w:val="79B679D3"/>
    <w:rsid w:val="7A940123"/>
    <w:rsid w:val="7CEC1640"/>
    <w:rsid w:val="7D0E27DE"/>
    <w:rsid w:val="7E156974"/>
    <w:rsid w:val="7E5958BD"/>
    <w:rsid w:val="7E5B3861"/>
    <w:rsid w:val="7E7A0ECD"/>
    <w:rsid w:val="7E8A1F33"/>
    <w:rsid w:val="7EA321D2"/>
    <w:rsid w:val="7EA727BE"/>
    <w:rsid w:val="7F2257ED"/>
    <w:rsid w:val="7F2826D7"/>
    <w:rsid w:val="7FC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A50E4-9EDE-442A-BA4D-7C24A88CB4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577</Words>
  <Characters>3294</Characters>
  <Lines>27</Lines>
  <Paragraphs>7</Paragraphs>
  <TotalTime>243</TotalTime>
  <ScaleCrop>false</ScaleCrop>
  <LinksUpToDate>false</LinksUpToDate>
  <CharactersWithSpaces>3864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2021-08-31T00:28:00Z</dcterms:created>
  <dc:creator>user</dc:creator>
  <cp:lastModifiedBy>lenovo</cp:lastModifiedBy>
  <cp:lastPrinted>2022-08-04T09:38:00Z</cp:lastPrinted>
  <dcterms:modified xsi:type="dcterms:W3CDTF">2022-09-06T08:21:51Z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EA092AC6D6464CACA596282155DB628E</vt:lpwstr>
  </property>
</Properties>
</file>