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Cs w:val="21"/>
        </w:rPr>
      </w:pPr>
    </w:p>
    <w:p>
      <w:pPr>
        <w:jc w:val="center"/>
      </w:pPr>
      <w:r>
        <w:rPr>
          <w:sz w:val="20"/>
        </w:rPr>
        <mc:AlternateContent>
          <mc:Choice Requires="wps">
            <w:drawing>
              <wp:anchor distT="0" distB="0" distL="114300" distR="114300" simplePos="0" relativeHeight="251661312" behindDoc="0" locked="0" layoutInCell="1" allowOverlap="1">
                <wp:simplePos x="0" y="0"/>
                <wp:positionH relativeFrom="column">
                  <wp:posOffset>-685800</wp:posOffset>
                </wp:positionH>
                <wp:positionV relativeFrom="paragraph">
                  <wp:posOffset>453390</wp:posOffset>
                </wp:positionV>
                <wp:extent cx="6858000" cy="911860"/>
                <wp:effectExtent l="0" t="0" r="0" b="2540"/>
                <wp:wrapSquare wrapText="bothSides"/>
                <wp:docPr id="6" name="文本框 6"/>
                <wp:cNvGraphicFramePr/>
                <a:graphic xmlns:a="http://schemas.openxmlformats.org/drawingml/2006/main">
                  <a:graphicData uri="http://schemas.microsoft.com/office/word/2010/wordprocessingShape">
                    <wps:wsp>
                      <wps:cNvSpPr txBox="true"/>
                      <wps:spPr>
                        <a:xfrm>
                          <a:off x="0" y="0"/>
                          <a:ext cx="6858000" cy="911860"/>
                        </a:xfrm>
                        <a:prstGeom prst="rect">
                          <a:avLst/>
                        </a:prstGeom>
                        <a:solidFill>
                          <a:srgbClr val="FFFFFF"/>
                        </a:solidFill>
                        <a:ln>
                          <a:noFill/>
                        </a:ln>
                      </wps:spPr>
                      <wps:txbx>
                        <w:txbxContent>
                          <w:p>
                            <w:pPr>
                              <w:tabs>
                                <w:tab w:val="left" w:pos="3420"/>
                              </w:tabs>
                              <w:jc w:val="center"/>
                              <w:rPr>
                                <w:rFonts w:ascii="方正小标宋简体" w:eastAsia="方正小标宋简体"/>
                                <w:color w:val="FF0000"/>
                                <w:spacing w:val="-30"/>
                                <w:w w:val="90"/>
                                <w:sz w:val="72"/>
                                <w:szCs w:val="72"/>
                              </w:rPr>
                            </w:pPr>
                            <w:r>
                              <w:rPr>
                                <w:rFonts w:hint="eastAsia" w:ascii="方正小标宋简体" w:eastAsia="方正小标宋简体"/>
                                <w:color w:val="FF0000"/>
                                <w:spacing w:val="-30"/>
                                <w:w w:val="90"/>
                                <w:sz w:val="72"/>
                                <w:szCs w:val="72"/>
                              </w:rPr>
                              <w:t>天津市蓟州区别山镇人民政府文件</w:t>
                            </w:r>
                          </w:p>
                          <w:p/>
                        </w:txbxContent>
                      </wps:txbx>
                      <wps:bodyPr upright="true"/>
                    </wps:wsp>
                  </a:graphicData>
                </a:graphic>
              </wp:anchor>
            </w:drawing>
          </mc:Choice>
          <mc:Fallback>
            <w:pict>
              <v:shape id="_x0000_s1026" o:spid="_x0000_s1026" o:spt="202" type="#_x0000_t202" style="position:absolute;left:0pt;margin-left:-54pt;margin-top:35.7pt;height:71.8pt;width:540pt;mso-wrap-distance-bottom:0pt;mso-wrap-distance-left:9pt;mso-wrap-distance-right:9pt;mso-wrap-distance-top:0pt;z-index:251661312;mso-width-relative:page;mso-height-relative:page;" fillcolor="#FFFFFF" filled="t" stroked="f" coordsize="21600,21600" o:gfxdata="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FgAAAGRycy9QSwEC&#10;FAAUAAAACACHTuJA+jTvr9kAAAALAQAADwAAAAAAAAABACAAAAA4AAAAZHJzL2Rvd25yZXYueG1s&#10;UEsBAhQAFAAAAAgAh07iQDIkbNqoAQAALwMAAA4AAAAAAAAAAQAgAAAAPgEAAGRycy9lMm9Eb2Mu&#10;eG1sUEsFBgAAAAAGAAYAWQEAAFgFAAAAAA==&#10;">
                <v:fill on="t" focussize="0,0"/>
                <v:stroke on="f"/>
                <v:imagedata o:title=""/>
                <o:lock v:ext="edit" aspectratio="f"/>
                <v:textbox>
                  <w:txbxContent>
                    <w:p>
                      <w:pPr>
                        <w:tabs>
                          <w:tab w:val="left" w:pos="3420"/>
                        </w:tabs>
                        <w:jc w:val="center"/>
                        <w:rPr>
                          <w:rFonts w:ascii="方正小标宋简体" w:eastAsia="方正小标宋简体"/>
                          <w:color w:val="FF0000"/>
                          <w:spacing w:val="-30"/>
                          <w:w w:val="90"/>
                          <w:sz w:val="72"/>
                          <w:szCs w:val="72"/>
                        </w:rPr>
                      </w:pPr>
                      <w:r>
                        <w:rPr>
                          <w:rFonts w:hint="eastAsia" w:ascii="方正小标宋简体" w:eastAsia="方正小标宋简体"/>
                          <w:color w:val="FF0000"/>
                          <w:spacing w:val="-30"/>
                          <w:w w:val="90"/>
                          <w:sz w:val="72"/>
                          <w:szCs w:val="72"/>
                        </w:rPr>
                        <w:t>天津市蓟州区别山镇人民政府文件</w:t>
                      </w:r>
                    </w:p>
                    <w:p/>
                  </w:txbxContent>
                </v:textbox>
                <w10:wrap type="square"/>
              </v:shape>
            </w:pict>
          </mc:Fallback>
        </mc:AlternateContent>
      </w:r>
    </w:p>
    <w:p>
      <w:pPr>
        <w:ind w:firstLine="210" w:firstLineChars="100"/>
        <w:jc w:val="center"/>
        <w:rPr>
          <w:rFonts w:ascii="仿宋_GB2312"/>
        </w:rPr>
      </w:pPr>
    </w:p>
    <w:p>
      <w:pPr>
        <w:ind w:firstLine="210" w:firstLineChars="100"/>
        <w:jc w:val="center"/>
        <w:rPr>
          <w:rFonts w:ascii="仿宋_GB2312"/>
        </w:rPr>
      </w:pPr>
    </w:p>
    <w:p>
      <w:pPr>
        <w:jc w:val="center"/>
        <w:rPr>
          <w:rFonts w:ascii="Times New Roman" w:eastAsia="仿宋_GB2312"/>
          <w:sz w:val="32"/>
          <w:szCs w:val="32"/>
        </w:rPr>
      </w:pPr>
      <w:r>
        <w:rPr>
          <w:rFonts w:hint="eastAsia" w:ascii="Times New Roman" w:eastAsia="仿宋_GB2312"/>
          <w:sz w:val="32"/>
          <w:szCs w:val="32"/>
        </w:rPr>
        <w:t>别山政发〔2023〕</w:t>
      </w:r>
      <w:r>
        <w:rPr>
          <w:rFonts w:ascii="Times New Roman" w:eastAsia="仿宋_GB2312"/>
          <w:sz w:val="32"/>
          <w:szCs w:val="32"/>
        </w:rPr>
        <w:t>2</w:t>
      </w:r>
      <w:r>
        <w:rPr>
          <w:rFonts w:hint="eastAsia" w:ascii="Times New Roman" w:eastAsia="仿宋_GB2312"/>
          <w:sz w:val="32"/>
          <w:szCs w:val="32"/>
        </w:rPr>
        <w:t>号                   签发人：杨志国</w:t>
      </w:r>
    </w:p>
    <w:p>
      <w:r>
        <w:rPr>
          <w:rFonts w:ascii="Times New Roman" w:hAnsi="Times New Roman"/>
        </w:rPr>
        <mc:AlternateContent>
          <mc:Choice Requires="wps">
            <w:drawing>
              <wp:anchor distT="0" distB="0" distL="114300" distR="114300" simplePos="0" relativeHeight="251662336" behindDoc="0" locked="0" layoutInCell="1" allowOverlap="1">
                <wp:simplePos x="0" y="0"/>
                <wp:positionH relativeFrom="column">
                  <wp:posOffset>130175</wp:posOffset>
                </wp:positionH>
                <wp:positionV relativeFrom="paragraph">
                  <wp:posOffset>62865</wp:posOffset>
                </wp:positionV>
                <wp:extent cx="5372100" cy="0"/>
                <wp:effectExtent l="0" t="9525" r="0" b="9525"/>
                <wp:wrapNone/>
                <wp:docPr id="5" name="直接连接符 5"/>
                <wp:cNvGraphicFramePr/>
                <a:graphic xmlns:a="http://schemas.openxmlformats.org/drawingml/2006/main">
                  <a:graphicData uri="http://schemas.microsoft.com/office/word/2010/wordprocessingShape">
                    <wps:wsp>
                      <wps:cNvCnPr/>
                      <wps:spPr>
                        <a:xfrm>
                          <a:off x="0" y="0"/>
                          <a:ext cx="5372100" cy="0"/>
                        </a:xfrm>
                        <a:prstGeom prst="line">
                          <a:avLst/>
                        </a:prstGeom>
                        <a:ln w="19050"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10.25pt;margin-top:4.95pt;height:0pt;width:423pt;z-index:251662336;mso-width-relative:page;mso-height-relative:page;" filled="f" stroked="t" coordsize="21600,21600" o:gfxdata="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XUyOwNQA&#10;AAAGAQAADwAAAAAAAAABACAAAAA4AAAAZHJzL2Rvd25yZXYueG1sUEsBAhQAFAAAAAgAh07iQG29&#10;WynUAQAAiwMAAA4AAAAAAAAAAQAgAAAAOQEAAGRycy9lMm9Eb2MueG1sUEsFBgAAAAAGAAYAWQEA&#10;AH8FAAAAAA==&#10;">
                <v:fill on="f" focussize="0,0"/>
                <v:stroke weight="1.5pt" color="#FF0000" joinstyle="round"/>
                <v:imagedata o:title=""/>
                <o:lock v:ext="edit" aspectratio="f"/>
              </v:line>
            </w:pict>
          </mc:Fallback>
        </mc:AlternateContent>
      </w:r>
    </w:p>
    <w:p>
      <w:pPr>
        <w:widowControl/>
        <w:spacing w:line="580" w:lineRule="exact"/>
        <w:jc w:val="center"/>
        <w:rPr>
          <w:rFonts w:ascii="Times New Roman" w:hAnsi="Times New Roman" w:eastAsia="方正小标宋_GBK"/>
          <w:color w:val="000000"/>
          <w:kern w:val="0"/>
          <w:sz w:val="44"/>
          <w:szCs w:val="44"/>
        </w:rPr>
      </w:pPr>
    </w:p>
    <w:p>
      <w:pPr>
        <w:widowControl/>
        <w:spacing w:line="58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别山镇关于进一步加强农业领域</w:t>
      </w:r>
    </w:p>
    <w:p>
      <w:pPr>
        <w:widowControl/>
        <w:spacing w:line="580" w:lineRule="exact"/>
        <w:jc w:val="center"/>
        <w:rPr>
          <w:rFonts w:ascii="Times New Roman" w:hAnsi="Times New Roman" w:eastAsia="方正小标宋_GBK"/>
          <w:color w:val="000000"/>
          <w:kern w:val="0"/>
          <w:sz w:val="44"/>
          <w:szCs w:val="44"/>
        </w:rPr>
      </w:pPr>
      <w:r>
        <w:rPr>
          <w:rFonts w:hint="eastAsia" w:ascii="Times New Roman" w:hAnsi="Times New Roman" w:eastAsia="方正小标宋_GBK"/>
          <w:color w:val="000000"/>
          <w:kern w:val="0"/>
          <w:sz w:val="44"/>
          <w:szCs w:val="44"/>
        </w:rPr>
        <w:t>安全生产工作的通知</w:t>
      </w:r>
    </w:p>
    <w:p>
      <w:pPr>
        <w:widowControl/>
        <w:spacing w:line="580" w:lineRule="exact"/>
        <w:jc w:val="center"/>
        <w:rPr>
          <w:rFonts w:ascii="Times New Roman" w:hAnsi="Times New Roman" w:eastAsia="方正小标宋_GBK"/>
          <w:color w:val="000000"/>
          <w:kern w:val="0"/>
          <w:sz w:val="44"/>
          <w:szCs w:val="44"/>
        </w:rPr>
      </w:pPr>
    </w:p>
    <w:p>
      <w:pPr>
        <w:spacing w:line="560" w:lineRule="exact"/>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各村：</w:t>
      </w:r>
    </w:p>
    <w:p>
      <w:pPr>
        <w:spacing w:line="56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为认真贯彻落实习近平总书记关于安全生产重要指示批示精神，进一步压实属地、行业和生产经营单位安全生产主体责任，深刻吸取北京市丰台区长峰医院“4·18”火灾事故教训</w:t>
      </w:r>
      <w:r>
        <w:rPr>
          <w:rFonts w:hint="eastAsia" w:ascii="仿宋_GB2312" w:hAnsi="仿宋_GB2312" w:eastAsia="仿宋_GB2312" w:cs="仿宋_GB2312"/>
          <w:sz w:val="32"/>
          <w:szCs w:val="32"/>
          <w:lang w:val="en"/>
        </w:rPr>
        <w:t>及我区近期发生的安全事故教训</w:t>
      </w:r>
      <w:r>
        <w:rPr>
          <w:rFonts w:ascii="仿宋_GB2312" w:hAnsi="仿宋_GB2312" w:eastAsia="仿宋_GB2312" w:cs="仿宋_GB2312"/>
          <w:sz w:val="32"/>
          <w:szCs w:val="32"/>
          <w:lang w:val="en"/>
        </w:rPr>
        <w:t>，全面排查整治农业安全生产各类风险隐患，坚决防范和遏制各类事故发生。</w:t>
      </w:r>
      <w:r>
        <w:rPr>
          <w:rFonts w:hint="eastAsia" w:ascii="仿宋_GB2312" w:hAnsi="仿宋_GB2312" w:eastAsia="仿宋_GB2312" w:cs="仿宋_GB2312"/>
          <w:sz w:val="32"/>
          <w:szCs w:val="32"/>
          <w:lang w:val="en"/>
        </w:rPr>
        <w:t>按照领导要求，结合当前工作实际，现就做好农业领域安全生产工作通知如下：</w:t>
      </w:r>
    </w:p>
    <w:p>
      <w:pPr>
        <w:spacing w:line="560" w:lineRule="exact"/>
        <w:ind w:firstLine="640" w:firstLineChars="200"/>
        <w:rPr>
          <w:rFonts w:ascii="Times New Roman" w:hAnsi="Times New Roman" w:eastAsia="黑体"/>
          <w:sz w:val="32"/>
          <w:szCs w:val="32"/>
        </w:rPr>
      </w:pPr>
      <w:r>
        <w:rPr>
          <w:rFonts w:hint="eastAsia" w:ascii="Times New Roman" w:hAnsi="Times New Roman" w:eastAsia="黑体"/>
          <w:sz w:val="32"/>
          <w:szCs w:val="32"/>
        </w:rPr>
        <w:t>一、</w:t>
      </w:r>
      <w:r>
        <w:rPr>
          <w:rFonts w:ascii="Times New Roman" w:hAnsi="Times New Roman" w:eastAsia="黑体"/>
          <w:sz w:val="32"/>
          <w:szCs w:val="32"/>
        </w:rPr>
        <w:t>进一步增强做好安全生产工作的紧迫感和责任感</w:t>
      </w:r>
    </w:p>
    <w:p>
      <w:pPr>
        <w:spacing w:line="56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今年以来，安全生产形势严峻</w:t>
      </w:r>
      <w:r>
        <w:rPr>
          <w:rFonts w:hint="eastAsia" w:ascii="仿宋_GB2312" w:hAnsi="仿宋_GB2312" w:eastAsia="仿宋_GB2312" w:cs="仿宋_GB2312"/>
          <w:sz w:val="32"/>
          <w:szCs w:val="32"/>
          <w:lang w:val="en"/>
        </w:rPr>
        <w:t>，</w:t>
      </w:r>
      <w:r>
        <w:rPr>
          <w:rFonts w:ascii="仿宋_GB2312" w:hAnsi="仿宋_GB2312" w:eastAsia="仿宋_GB2312" w:cs="仿宋_GB2312"/>
          <w:sz w:val="32"/>
          <w:szCs w:val="32"/>
          <w:lang w:val="en"/>
        </w:rPr>
        <w:t>春夏季历来是生产安全事故易发高发期，受天气不稳定等因素影响，安全生产形势更加严峻复杂。农机</w:t>
      </w:r>
      <w:r>
        <w:rPr>
          <w:rFonts w:hint="eastAsia" w:ascii="仿宋_GB2312" w:hAnsi="仿宋_GB2312" w:eastAsia="仿宋_GB2312" w:cs="仿宋_GB2312"/>
          <w:sz w:val="32"/>
          <w:szCs w:val="32"/>
          <w:lang w:val="en"/>
        </w:rPr>
        <w:t>操作人员</w:t>
      </w:r>
      <w:r>
        <w:rPr>
          <w:rFonts w:ascii="仿宋_GB2312" w:hAnsi="仿宋_GB2312" w:eastAsia="仿宋_GB2312" w:cs="仿宋_GB2312"/>
          <w:sz w:val="32"/>
          <w:szCs w:val="32"/>
          <w:lang w:val="en"/>
        </w:rPr>
        <w:t>容易出现疲劳作业、违规作业和机械带病作业等情况。随着高温多雨季节来临，农村沼气工程防泄漏防跌入、畜禽养殖防硫化氢中毒等还存在很大安全风险隐患，安全规范农药使用一刻也不能放松。畜禽屠宰、饲料加工、兽药等生产企业经常性的安全教育培训仍需加强。各</w:t>
      </w:r>
      <w:r>
        <w:rPr>
          <w:rFonts w:hint="eastAsia" w:ascii="仿宋_GB2312" w:hAnsi="仿宋_GB2312" w:eastAsia="仿宋_GB2312" w:cs="仿宋_GB2312"/>
          <w:sz w:val="32"/>
          <w:szCs w:val="32"/>
          <w:lang w:val="en"/>
        </w:rPr>
        <w:t>村</w:t>
      </w:r>
      <w:r>
        <w:rPr>
          <w:rFonts w:ascii="仿宋_GB2312" w:hAnsi="仿宋_GB2312" w:eastAsia="仿宋_GB2312" w:cs="仿宋_GB2312"/>
          <w:sz w:val="32"/>
          <w:szCs w:val="32"/>
          <w:lang w:val="en"/>
        </w:rPr>
        <w:t>要认真学习领会、深入贯彻落实习近平总书记关于安全生产的重要指示精神，清醒认识农业行业领域安全生产形势的严峻性和复杂性，深刻认识做好当前及下一阶段安全生产工作的特殊性和艰巨性，以对党和人民高度负责的精神，坚决扛起防范化解重大安全风险的政治责任，始终绷紧安全这根弦，坚守安全底线红线，以守护人民生命安全的实际行动和实际成效做到“两个维护”、捍卫“两个确立”。要盯紧</w:t>
      </w:r>
      <w:r>
        <w:rPr>
          <w:rFonts w:hint="eastAsia" w:ascii="仿宋_GB2312" w:hAnsi="仿宋_GB2312" w:eastAsia="仿宋_GB2312" w:cs="仿宋_GB2312"/>
          <w:sz w:val="32"/>
          <w:szCs w:val="32"/>
          <w:lang w:val="en"/>
        </w:rPr>
        <w:t>劳动节、</w:t>
      </w:r>
      <w:r>
        <w:rPr>
          <w:rFonts w:ascii="仿宋_GB2312" w:hAnsi="仿宋_GB2312" w:eastAsia="仿宋_GB2312" w:cs="仿宋_GB2312"/>
          <w:sz w:val="32"/>
          <w:szCs w:val="32"/>
          <w:lang w:val="en"/>
        </w:rPr>
        <w:t>中秋节、国庆节</w:t>
      </w:r>
      <w:r>
        <w:rPr>
          <w:rFonts w:hint="eastAsia" w:ascii="仿宋_GB2312" w:hAnsi="仿宋_GB2312" w:eastAsia="仿宋_GB2312" w:cs="仿宋_GB2312"/>
          <w:sz w:val="32"/>
          <w:szCs w:val="32"/>
          <w:lang w:val="en"/>
        </w:rPr>
        <w:t>、春节</w:t>
      </w:r>
      <w:r>
        <w:rPr>
          <w:rFonts w:ascii="仿宋_GB2312" w:hAnsi="仿宋_GB2312" w:eastAsia="仿宋_GB2312" w:cs="仿宋_GB2312"/>
          <w:sz w:val="32"/>
          <w:szCs w:val="32"/>
          <w:lang w:val="en"/>
        </w:rPr>
        <w:t>等重要时间节点，深入分析研判本</w:t>
      </w:r>
      <w:r>
        <w:rPr>
          <w:rFonts w:hint="eastAsia" w:ascii="仿宋_GB2312" w:hAnsi="仿宋_GB2312" w:eastAsia="仿宋_GB2312" w:cs="仿宋_GB2312"/>
          <w:sz w:val="32"/>
          <w:szCs w:val="32"/>
          <w:lang w:val="en"/>
        </w:rPr>
        <w:t>村各</w:t>
      </w:r>
      <w:r>
        <w:rPr>
          <w:rFonts w:ascii="仿宋_GB2312" w:hAnsi="仿宋_GB2312" w:eastAsia="仿宋_GB2312" w:cs="仿宋_GB2312"/>
          <w:sz w:val="32"/>
          <w:szCs w:val="32"/>
          <w:lang w:val="en"/>
        </w:rPr>
        <w:t>行业领域安全风险特点，层层压实责任，消除各类安全隐患，有效防范遏制各类事故，确保把人民生命财产安全放在首位落到实处。</w:t>
      </w:r>
    </w:p>
    <w:p>
      <w:pPr>
        <w:spacing w:line="560" w:lineRule="exact"/>
        <w:ind w:firstLine="640" w:firstLineChars="200"/>
        <w:rPr>
          <w:rFonts w:ascii="Times New Roman" w:hAnsi="Times New Roman" w:eastAsia="黑体"/>
          <w:sz w:val="32"/>
          <w:szCs w:val="32"/>
          <w:lang w:val="en"/>
        </w:rPr>
      </w:pPr>
      <w:r>
        <w:rPr>
          <w:rFonts w:hint="eastAsia" w:ascii="Times New Roman" w:hAnsi="Times New Roman" w:eastAsia="黑体"/>
          <w:sz w:val="32"/>
          <w:szCs w:val="32"/>
          <w:lang w:val="en"/>
        </w:rPr>
        <w:t>二、</w:t>
      </w:r>
      <w:r>
        <w:rPr>
          <w:rFonts w:ascii="Times New Roman" w:hAnsi="Times New Roman" w:eastAsia="黑体"/>
          <w:sz w:val="32"/>
          <w:szCs w:val="32"/>
          <w:lang w:val="en"/>
        </w:rPr>
        <w:t>进一步强化农业领域安全生产隐患排查治理</w:t>
      </w:r>
    </w:p>
    <w:p>
      <w:pPr>
        <w:spacing w:line="56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农业领域安全生产不确定不稳定因素增多。各</w:t>
      </w:r>
      <w:r>
        <w:rPr>
          <w:rFonts w:hint="eastAsia" w:ascii="仿宋_GB2312" w:hAnsi="仿宋_GB2312" w:eastAsia="仿宋_GB2312" w:cs="仿宋_GB2312"/>
          <w:sz w:val="32"/>
          <w:szCs w:val="32"/>
          <w:lang w:val="en"/>
        </w:rPr>
        <w:t>村要</w:t>
      </w:r>
      <w:r>
        <w:rPr>
          <w:rFonts w:ascii="仿宋_GB2312" w:hAnsi="仿宋_GB2312" w:eastAsia="仿宋_GB2312" w:cs="仿宋_GB2312"/>
          <w:sz w:val="32"/>
          <w:szCs w:val="32"/>
          <w:lang w:val="en"/>
        </w:rPr>
        <w:t>有针对性的开展</w:t>
      </w:r>
      <w:r>
        <w:rPr>
          <w:rFonts w:hint="eastAsia" w:ascii="仿宋_GB2312" w:hAnsi="仿宋_GB2312" w:eastAsia="仿宋_GB2312" w:cs="仿宋_GB2312"/>
          <w:sz w:val="32"/>
          <w:szCs w:val="32"/>
          <w:lang w:val="en"/>
        </w:rPr>
        <w:t>全年各个季节的</w:t>
      </w:r>
      <w:r>
        <w:rPr>
          <w:rFonts w:ascii="仿宋_GB2312" w:hAnsi="仿宋_GB2312" w:eastAsia="仿宋_GB2312" w:cs="仿宋_GB2312"/>
          <w:sz w:val="32"/>
          <w:szCs w:val="32"/>
          <w:lang w:val="en"/>
        </w:rPr>
        <w:t>安全生产预防，认真做好隐患排查治理。</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（一）</w:t>
      </w:r>
      <w:r>
        <w:rPr>
          <w:rFonts w:ascii="仿宋_GB2312" w:hAnsi="仿宋_GB2312" w:eastAsia="仿宋_GB2312" w:cs="仿宋_GB2312"/>
          <w:sz w:val="32"/>
          <w:szCs w:val="32"/>
          <w:lang w:val="en"/>
        </w:rPr>
        <w:t>农业机械要</w:t>
      </w:r>
      <w:r>
        <w:rPr>
          <w:rFonts w:hint="eastAsia" w:ascii="仿宋_GB2312" w:hAnsi="仿宋_GB2312" w:eastAsia="仿宋_GB2312" w:cs="仿宋_GB2312"/>
          <w:sz w:val="32"/>
          <w:szCs w:val="32"/>
          <w:lang w:val="en"/>
        </w:rPr>
        <w:t>突出检查农业机械是否按规定每年进行检验，严查无驾驶证、无牌行使、酒后操作、非法载人等违法违规行为，“春耕春管”</w:t>
      </w:r>
      <w:r>
        <w:rPr>
          <w:rFonts w:ascii="仿宋_GB2312" w:hAnsi="仿宋_GB2312" w:eastAsia="仿宋_GB2312" w:cs="仿宋_GB2312"/>
          <w:sz w:val="32"/>
          <w:szCs w:val="32"/>
          <w:lang w:val="en"/>
        </w:rPr>
        <w:t>“三夏”农机作业的安全防范，要在违法载人、疲劳作业方面加大</w:t>
      </w:r>
      <w:r>
        <w:rPr>
          <w:rFonts w:hint="eastAsia" w:ascii="仿宋_GB2312" w:hAnsi="仿宋_GB2312" w:eastAsia="仿宋_GB2312" w:cs="仿宋_GB2312"/>
          <w:sz w:val="32"/>
          <w:szCs w:val="32"/>
          <w:lang w:val="en"/>
        </w:rPr>
        <w:t>宣传教育</w:t>
      </w:r>
      <w:r>
        <w:rPr>
          <w:rFonts w:ascii="仿宋_GB2312" w:hAnsi="仿宋_GB2312" w:eastAsia="仿宋_GB2312" w:cs="仿宋_GB2312"/>
          <w:sz w:val="32"/>
          <w:szCs w:val="32"/>
          <w:lang w:val="en"/>
        </w:rPr>
        <w:t>力度。</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（二）</w:t>
      </w:r>
      <w:r>
        <w:rPr>
          <w:rFonts w:ascii="仿宋_GB2312" w:hAnsi="仿宋_GB2312" w:eastAsia="仿宋_GB2312" w:cs="仿宋_GB2312"/>
          <w:sz w:val="32"/>
          <w:szCs w:val="32"/>
          <w:lang w:val="en"/>
        </w:rPr>
        <w:t>畜禽养殖要</w:t>
      </w:r>
      <w:r>
        <w:rPr>
          <w:rFonts w:hint="eastAsia" w:ascii="仿宋_GB2312" w:hAnsi="仿宋_GB2312" w:eastAsia="仿宋_GB2312" w:cs="仿宋_GB2312"/>
          <w:sz w:val="32"/>
          <w:szCs w:val="32"/>
          <w:lang w:val="en"/>
        </w:rPr>
        <w:t>检查是否有警示标识、护栏等，</w:t>
      </w:r>
      <w:r>
        <w:rPr>
          <w:rFonts w:ascii="仿宋_GB2312" w:hAnsi="仿宋_GB2312" w:eastAsia="仿宋_GB2312" w:cs="仿宋_GB2312"/>
          <w:sz w:val="32"/>
          <w:szCs w:val="32"/>
          <w:lang w:val="en"/>
        </w:rPr>
        <w:t>突出夏季高温硫化氢中毒的安全防范，要在有限空间作业安全管理方面加大督促指导检查力度。</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（三）</w:t>
      </w:r>
      <w:r>
        <w:rPr>
          <w:rFonts w:ascii="仿宋_GB2312" w:hAnsi="仿宋_GB2312" w:eastAsia="仿宋_GB2312" w:cs="仿宋_GB2312"/>
          <w:sz w:val="32"/>
          <w:szCs w:val="32"/>
          <w:lang w:val="en"/>
        </w:rPr>
        <w:t>畜禽屠宰要突出制冷设备的安全防范，要在制冷设施设备安全管理方面加大检查力度。</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（四）</w:t>
      </w:r>
      <w:r>
        <w:rPr>
          <w:rFonts w:ascii="仿宋_GB2312" w:hAnsi="仿宋_GB2312" w:eastAsia="仿宋_GB2312" w:cs="仿宋_GB2312"/>
          <w:sz w:val="32"/>
          <w:szCs w:val="32"/>
          <w:lang w:val="en"/>
        </w:rPr>
        <w:t>饲料生产要突出粉尘爆燃的安全防范，要在防火灾防漏电方面加大检查力度，保持通风和防静电设备良好。</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（五）农产品质量</w:t>
      </w:r>
      <w:r>
        <w:rPr>
          <w:rFonts w:hint="eastAsia" w:ascii="仿宋_GB2312" w:hAnsi="仿宋_GB2312" w:eastAsia="仿宋_GB2312" w:cs="仿宋_GB2312"/>
          <w:sz w:val="32"/>
          <w:szCs w:val="32"/>
          <w:lang w:val="en" w:eastAsia="zh-CN"/>
        </w:rPr>
        <w:t>安全</w:t>
      </w:r>
      <w:r>
        <w:rPr>
          <w:rFonts w:hint="eastAsia" w:ascii="仿宋_GB2312" w:hAnsi="仿宋_GB2312" w:eastAsia="仿宋_GB2312" w:cs="仿宋_GB2312"/>
          <w:sz w:val="32"/>
          <w:szCs w:val="32"/>
          <w:lang w:val="en"/>
        </w:rPr>
        <w:t>方面要突出春季、</w:t>
      </w:r>
      <w:r>
        <w:rPr>
          <w:rFonts w:ascii="仿宋_GB2312" w:hAnsi="仿宋_GB2312" w:eastAsia="仿宋_GB2312" w:cs="仿宋_GB2312"/>
          <w:sz w:val="32"/>
          <w:szCs w:val="32"/>
          <w:lang w:val="en"/>
        </w:rPr>
        <w:t>夏季用药频繁、量大的安全防范，</w:t>
      </w:r>
      <w:r>
        <w:rPr>
          <w:rFonts w:hint="eastAsia" w:ascii="仿宋_GB2312" w:hAnsi="仿宋_GB2312" w:eastAsia="仿宋_GB2312" w:cs="仿宋_GB2312"/>
          <w:sz w:val="32"/>
          <w:szCs w:val="32"/>
          <w:lang w:val="en"/>
        </w:rPr>
        <w:t>农产品生产经营者农药、兽药要按国家规定使用，</w:t>
      </w:r>
      <w:r>
        <w:rPr>
          <w:rFonts w:ascii="仿宋_GB2312" w:hAnsi="仿宋_GB2312" w:eastAsia="仿宋_GB2312" w:cs="仿宋_GB2312"/>
          <w:sz w:val="32"/>
          <w:szCs w:val="32"/>
          <w:lang w:val="en"/>
        </w:rPr>
        <w:t>要在农药使用环节加大宣传教育。</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（六）</w:t>
      </w:r>
      <w:r>
        <w:rPr>
          <w:rFonts w:ascii="仿宋_GB2312" w:hAnsi="仿宋_GB2312" w:eastAsia="仿宋_GB2312" w:cs="仿宋_GB2312"/>
          <w:sz w:val="32"/>
          <w:szCs w:val="32"/>
          <w:lang w:val="en"/>
        </w:rPr>
        <w:t>农业种植要突出深入农田用水、用电、用药、农用小型机械设备安全隐患</w:t>
      </w:r>
      <w:r>
        <w:rPr>
          <w:rFonts w:hint="eastAsia" w:ascii="仿宋_GB2312" w:hAnsi="仿宋_GB2312" w:eastAsia="仿宋_GB2312" w:cs="仿宋_GB2312"/>
          <w:sz w:val="32"/>
          <w:szCs w:val="32"/>
          <w:lang w:val="en"/>
        </w:rPr>
        <w:t>的</w:t>
      </w:r>
      <w:r>
        <w:rPr>
          <w:rFonts w:ascii="仿宋_GB2312" w:hAnsi="仿宋_GB2312" w:eastAsia="仿宋_GB2312" w:cs="仿宋_GB2312"/>
          <w:sz w:val="32"/>
          <w:szCs w:val="32"/>
          <w:lang w:val="en"/>
        </w:rPr>
        <w:t>排查，要在大棚种植和田间作业安全方面加大宣传教育。</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（七）</w:t>
      </w:r>
      <w:r>
        <w:rPr>
          <w:rFonts w:ascii="仿宋_GB2312" w:hAnsi="仿宋_GB2312" w:eastAsia="仿宋_GB2312" w:cs="仿宋_GB2312"/>
          <w:sz w:val="32"/>
          <w:szCs w:val="32"/>
          <w:lang w:val="en"/>
        </w:rPr>
        <w:t>农村沼气要突出</w:t>
      </w:r>
      <w:r>
        <w:rPr>
          <w:rFonts w:hint="eastAsia" w:ascii="仿宋_GB2312" w:hAnsi="仿宋_GB2312" w:eastAsia="仿宋_GB2312" w:cs="仿宋_GB2312"/>
          <w:sz w:val="32"/>
          <w:szCs w:val="32"/>
          <w:lang w:val="en"/>
        </w:rPr>
        <w:t>输气管道、沼气用具气密性和畅通性的安全防范</w:t>
      </w:r>
      <w:r>
        <w:rPr>
          <w:rFonts w:ascii="仿宋_GB2312" w:hAnsi="仿宋_GB2312" w:eastAsia="仿宋_GB2312" w:cs="仿宋_GB2312"/>
          <w:sz w:val="32"/>
          <w:szCs w:val="32"/>
          <w:lang w:val="en"/>
        </w:rPr>
        <w:t>，要在防泄漏防跌入等方面加大宣传教育和检查力度。</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（八）休闲农业要突出指导从事休闲农业的经营主体做好管理场地内的游乐设施、餐饮、住宿等方面的相关安全生产工作</w:t>
      </w:r>
      <w:r>
        <w:rPr>
          <w:rFonts w:ascii="仿宋_GB2312" w:hAnsi="仿宋_GB2312" w:eastAsia="仿宋_GB2312" w:cs="仿宋_GB2312"/>
          <w:sz w:val="32"/>
          <w:szCs w:val="32"/>
          <w:lang w:val="en"/>
        </w:rPr>
        <w:t>。</w:t>
      </w:r>
    </w:p>
    <w:p>
      <w:pPr>
        <w:spacing w:line="560" w:lineRule="exact"/>
        <w:ind w:firstLine="640" w:firstLineChars="200"/>
        <w:rPr>
          <w:rFonts w:ascii="仿宋_GB2312" w:hAnsi="仿宋_GB2312" w:eastAsia="仿宋_GB2312" w:cs="仿宋_GB2312"/>
          <w:sz w:val="32"/>
          <w:szCs w:val="32"/>
          <w:lang w:val="en"/>
        </w:rPr>
      </w:pPr>
      <w:r>
        <w:rPr>
          <w:rFonts w:hint="eastAsia" w:ascii="仿宋_GB2312" w:hAnsi="仿宋_GB2312" w:eastAsia="仿宋_GB2312" w:cs="仿宋_GB2312"/>
          <w:sz w:val="32"/>
          <w:szCs w:val="32"/>
          <w:lang w:val="en"/>
        </w:rPr>
        <w:t>（九）设施农业突出检查管护是否到位（大风、暴雪天气的加固）</w:t>
      </w:r>
    </w:p>
    <w:p>
      <w:pPr>
        <w:spacing w:line="560" w:lineRule="exact"/>
        <w:ind w:firstLine="640" w:firstLineChars="200"/>
        <w:rPr>
          <w:rFonts w:hint="eastAsia" w:ascii="仿宋_GB2312" w:hAnsi="仿宋_GB2312" w:eastAsia="仿宋_GB2312" w:cs="仿宋_GB2312"/>
          <w:sz w:val="32"/>
          <w:szCs w:val="32"/>
          <w:lang w:val="en" w:eastAsia="zh-CN"/>
        </w:rPr>
      </w:pPr>
      <w:r>
        <w:rPr>
          <w:rFonts w:hint="eastAsia" w:ascii="仿宋_GB2312" w:hAnsi="仿宋_GB2312" w:eastAsia="仿宋_GB2312" w:cs="仿宋_GB2312"/>
          <w:sz w:val="32"/>
          <w:szCs w:val="32"/>
          <w:lang w:val="en"/>
        </w:rPr>
        <w:t>（十）村内其他农业领域重点隐患部位的排查</w:t>
      </w:r>
      <w:r>
        <w:rPr>
          <w:rFonts w:hint="eastAsia" w:ascii="仿宋_GB2312" w:hAnsi="仿宋_GB2312" w:eastAsia="仿宋_GB2312" w:cs="仿宋_GB2312"/>
          <w:sz w:val="32"/>
          <w:szCs w:val="32"/>
          <w:lang w:val="en" w:eastAsia="zh-CN"/>
        </w:rPr>
        <w:t>。</w:t>
      </w:r>
    </w:p>
    <w:p>
      <w:pPr>
        <w:spacing w:line="560" w:lineRule="exact"/>
        <w:ind w:firstLine="640" w:firstLineChars="200"/>
        <w:rPr>
          <w:rFonts w:ascii="仿宋_GB2312" w:hAnsi="仿宋_GB2312" w:eastAsia="仿宋_GB2312" w:cs="仿宋_GB2312"/>
          <w:sz w:val="32"/>
          <w:szCs w:val="32"/>
          <w:lang w:val="en"/>
        </w:rPr>
      </w:pPr>
      <w:r>
        <w:rPr>
          <w:rFonts w:ascii="仿宋_GB2312" w:hAnsi="仿宋_GB2312" w:eastAsia="仿宋_GB2312" w:cs="仿宋_GB2312"/>
          <w:sz w:val="32"/>
          <w:szCs w:val="32"/>
          <w:lang w:val="en"/>
        </w:rPr>
        <w:t>各</w:t>
      </w:r>
      <w:r>
        <w:rPr>
          <w:rFonts w:hint="eastAsia" w:ascii="仿宋_GB2312" w:hAnsi="仿宋_GB2312" w:eastAsia="仿宋_GB2312" w:cs="仿宋_GB2312"/>
          <w:sz w:val="32"/>
          <w:szCs w:val="32"/>
          <w:lang w:val="en"/>
        </w:rPr>
        <w:t>村要立足自身实际，坚持“预防为主、积极消灭、生命至上、安全第一”工作方针，</w:t>
      </w:r>
      <w:r>
        <w:rPr>
          <w:rFonts w:ascii="仿宋_GB2312" w:hAnsi="仿宋_GB2312" w:eastAsia="仿宋_GB2312" w:cs="仿宋_GB2312"/>
          <w:sz w:val="32"/>
          <w:szCs w:val="32"/>
          <w:lang w:val="en"/>
        </w:rPr>
        <w:t xml:space="preserve"> </w:t>
      </w:r>
      <w:r>
        <w:rPr>
          <w:rFonts w:hint="eastAsia" w:ascii="仿宋_GB2312" w:hAnsi="仿宋_GB2312" w:eastAsia="仿宋_GB2312" w:cs="仿宋_GB2312"/>
          <w:sz w:val="32"/>
          <w:szCs w:val="32"/>
          <w:lang w:val="en"/>
        </w:rPr>
        <w:t>全面推进涉农领域安全防治一体化管理。各村要持续优化风险防治机制，压紧压实防控责任，深化源头治理，把预防工作放在首位，注重抓在平时，全力防未防危防违，对风险隐患做到清单化管理，及时补齐短板，做到打早打小打了。各村要做好涉农领域安全问题宣传工作，既要结合自身实际做好日常引导，又要抓好重要时间节点，做到同频共振，</w:t>
      </w:r>
      <w:r>
        <w:rPr>
          <w:rFonts w:ascii="仿宋_GB2312" w:hAnsi="仿宋_GB2312" w:eastAsia="仿宋_GB2312" w:cs="仿宋_GB2312"/>
          <w:sz w:val="32"/>
          <w:szCs w:val="32"/>
          <w:lang w:val="en"/>
        </w:rPr>
        <w:t>确保</w:t>
      </w:r>
      <w:r>
        <w:rPr>
          <w:rFonts w:hint="eastAsia" w:ascii="仿宋_GB2312" w:hAnsi="仿宋_GB2312" w:eastAsia="仿宋_GB2312" w:cs="仿宋_GB2312"/>
          <w:sz w:val="32"/>
          <w:szCs w:val="32"/>
          <w:lang w:val="en"/>
        </w:rPr>
        <w:t>全年涉农</w:t>
      </w:r>
      <w:r>
        <w:rPr>
          <w:rFonts w:ascii="仿宋_GB2312" w:hAnsi="仿宋_GB2312" w:eastAsia="仿宋_GB2312" w:cs="仿宋_GB2312"/>
          <w:sz w:val="32"/>
          <w:szCs w:val="32"/>
          <w:lang w:val="en"/>
        </w:rPr>
        <w:t>领域安全生产稳定。</w:t>
      </w:r>
      <w:r>
        <w:rPr>
          <w:rFonts w:hint="eastAsia" w:ascii="仿宋_GB2312" w:hAnsi="仿宋_GB2312" w:eastAsia="仿宋_GB2312" w:cs="仿宋_GB2312"/>
          <w:sz w:val="32"/>
          <w:szCs w:val="32"/>
          <w:lang w:val="en"/>
        </w:rPr>
        <w:t>各村要强化</w:t>
      </w:r>
      <w:r>
        <w:rPr>
          <w:rFonts w:ascii="仿宋_GB2312" w:hAnsi="仿宋_GB2312" w:eastAsia="仿宋_GB2312" w:cs="仿宋_GB2312"/>
          <w:sz w:val="32"/>
          <w:szCs w:val="32"/>
        </w:rPr>
        <w:t>信息报送，</w:t>
      </w:r>
      <w:r>
        <w:rPr>
          <w:rFonts w:hint="eastAsia" w:ascii="仿宋_GB2312" w:hAnsi="仿宋_GB2312" w:eastAsia="仿宋_GB2312" w:cs="仿宋_GB2312"/>
          <w:sz w:val="32"/>
          <w:szCs w:val="32"/>
        </w:rPr>
        <w:t>严格落实值班值守制度，</w:t>
      </w:r>
      <w:r>
        <w:rPr>
          <w:rFonts w:ascii="仿宋_GB2312" w:hAnsi="仿宋_GB2312" w:eastAsia="仿宋_GB2312" w:cs="仿宋_GB2312"/>
          <w:sz w:val="32"/>
          <w:szCs w:val="32"/>
        </w:rPr>
        <w:t>遇有突发</w:t>
      </w:r>
      <w:r>
        <w:rPr>
          <w:rFonts w:hint="eastAsia" w:ascii="仿宋_GB2312" w:hAnsi="仿宋_GB2312" w:eastAsia="仿宋_GB2312" w:cs="仿宋_GB2312"/>
          <w:sz w:val="32"/>
          <w:szCs w:val="32"/>
        </w:rPr>
        <w:t>情况</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做到及时准确报送，</w:t>
      </w:r>
      <w:r>
        <w:rPr>
          <w:rFonts w:ascii="仿宋_GB2312" w:hAnsi="仿宋_GB2312" w:eastAsia="仿宋_GB2312" w:cs="仿宋_GB2312"/>
          <w:sz w:val="32"/>
          <w:szCs w:val="32"/>
        </w:rPr>
        <w:t>妥善有效处置</w:t>
      </w:r>
      <w:r>
        <w:rPr>
          <w:rFonts w:hint="eastAsia" w:ascii="仿宋_GB2312" w:hAnsi="仿宋_GB2312" w:eastAsia="仿宋_GB2312" w:cs="仿宋_GB2312"/>
          <w:sz w:val="32"/>
          <w:szCs w:val="32"/>
        </w:rPr>
        <w:t>。</w:t>
      </w:r>
    </w:p>
    <w:p>
      <w:pPr>
        <w:spacing w:line="580" w:lineRule="exact"/>
        <w:ind w:firstLine="640" w:firstLineChars="200"/>
        <w:rPr>
          <w:rFonts w:ascii="Times New Roman" w:hAnsi="Times New Roman" w:eastAsia="仿宋_GB2312"/>
          <w:color w:val="000000"/>
          <w:sz w:val="32"/>
          <w:szCs w:val="32"/>
        </w:rPr>
      </w:pPr>
    </w:p>
    <w:p>
      <w:pPr>
        <w:pStyle w:val="7"/>
        <w:spacing w:line="580" w:lineRule="exact"/>
      </w:pPr>
    </w:p>
    <w:p>
      <w:pPr>
        <w:pStyle w:val="3"/>
        <w:ind w:left="5250"/>
        <w:rPr>
          <w:rFonts w:hint="eastAsia"/>
        </w:rPr>
      </w:pPr>
    </w:p>
    <w:p>
      <w:pPr>
        <w:pStyle w:val="3"/>
        <w:ind w:left="5250"/>
      </w:pPr>
    </w:p>
    <w:p>
      <w:pPr>
        <w:rPr>
          <w:rFonts w:hint="eastAsia"/>
        </w:rPr>
      </w:pPr>
    </w:p>
    <w:p>
      <w:pPr>
        <w:widowControl/>
        <w:shd w:val="clear" w:color="auto" w:fill="FFFFFF"/>
        <w:spacing w:line="580" w:lineRule="exact"/>
        <w:ind w:firstLine="640" w:firstLineChars="200"/>
        <w:jc w:val="right"/>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天津市蓟州区别山镇人民政府</w:t>
      </w:r>
    </w:p>
    <w:p>
      <w:pPr>
        <w:widowControl/>
        <w:shd w:val="clear" w:color="auto" w:fill="FFFFFF"/>
        <w:spacing w:line="580" w:lineRule="exact"/>
        <w:ind w:firstLine="640" w:firstLineChars="200"/>
        <w:jc w:val="center"/>
        <w:rPr>
          <w:rFonts w:ascii="Times New Roman" w:hAnsi="Times New Roman" w:eastAsia="仿宋_GB2312"/>
          <w:color w:val="000000"/>
          <w:sz w:val="32"/>
          <w:szCs w:val="32"/>
        </w:rPr>
      </w:pPr>
      <w:r>
        <w:rPr>
          <w:rFonts w:hint="eastAsia" w:ascii="Times New Roman" w:hAnsi="Times New Roman" w:eastAsia="仿宋_GB2312"/>
          <w:color w:val="000000"/>
          <w:sz w:val="32"/>
          <w:szCs w:val="32"/>
        </w:rPr>
        <w:t xml:space="preserve">                          </w:t>
      </w:r>
      <w:r>
        <w:rPr>
          <w:rFonts w:ascii="Times New Roman" w:hAnsi="Times New Roman" w:eastAsia="仿宋_GB2312"/>
          <w:color w:val="000000"/>
          <w:sz w:val="32"/>
          <w:szCs w:val="32"/>
        </w:rPr>
        <w:t>202</w:t>
      </w:r>
      <w:r>
        <w:rPr>
          <w:rFonts w:hint="eastAsia" w:ascii="Times New Roman" w:hAnsi="Times New Roman" w:eastAsia="仿宋_GB2312"/>
          <w:color w:val="000000"/>
          <w:sz w:val="32"/>
          <w:szCs w:val="32"/>
        </w:rPr>
        <w:t>3</w:t>
      </w:r>
      <w:r>
        <w:rPr>
          <w:rFonts w:ascii="Times New Roman" w:hAnsi="Times New Roman" w:eastAsia="仿宋_GB2312"/>
          <w:color w:val="000000"/>
          <w:sz w:val="32"/>
          <w:szCs w:val="32"/>
        </w:rPr>
        <w:t>年</w:t>
      </w:r>
      <w:r>
        <w:rPr>
          <w:rFonts w:hint="eastAsia" w:ascii="Times New Roman" w:hAnsi="Times New Roman" w:eastAsia="仿宋_GB2312"/>
          <w:color w:val="000000"/>
          <w:sz w:val="32"/>
          <w:szCs w:val="32"/>
        </w:rPr>
        <w:t>5</w:t>
      </w:r>
      <w:r>
        <w:rPr>
          <w:rFonts w:ascii="Times New Roman" w:hAnsi="Times New Roman" w:eastAsia="仿宋_GB2312"/>
          <w:color w:val="000000"/>
          <w:sz w:val="32"/>
          <w:szCs w:val="32"/>
        </w:rPr>
        <w:t>月</w:t>
      </w:r>
      <w:r>
        <w:rPr>
          <w:rFonts w:hint="default" w:ascii="Times New Roman" w:hAnsi="Times New Roman" w:eastAsia="仿宋_GB2312"/>
          <w:color w:val="000000"/>
          <w:sz w:val="32"/>
          <w:szCs w:val="32"/>
          <w:lang w:val="en"/>
        </w:rPr>
        <w:t>8</w:t>
      </w:r>
      <w:r>
        <w:rPr>
          <w:rFonts w:ascii="Times New Roman" w:hAnsi="Times New Roman" w:eastAsia="仿宋_GB2312"/>
          <w:color w:val="000000"/>
          <w:sz w:val="32"/>
          <w:szCs w:val="32"/>
        </w:rPr>
        <w:t>日</w:t>
      </w:r>
    </w:p>
    <w:p>
      <w:pPr>
        <w:adjustRightInd w:val="0"/>
        <w:snapToGrid w:val="0"/>
        <w:spacing w:line="580" w:lineRule="exact"/>
        <w:jc w:val="center"/>
        <w:rPr>
          <w:rFonts w:ascii="方正小标宋简体" w:hAnsi="方正小标宋简体" w:eastAsia="方正小标宋简体" w:cs="方正小标宋简体"/>
          <w:color w:val="000000"/>
          <w:sz w:val="44"/>
          <w:szCs w:val="44"/>
        </w:rPr>
      </w:pPr>
    </w:p>
    <w:p>
      <w:pPr>
        <w:spacing w:line="580" w:lineRule="exact"/>
        <w:ind w:right="420" w:rightChars="200"/>
        <w:rPr>
          <w:rFonts w:eastAsia="仿宋_GB2312"/>
          <w:sz w:val="28"/>
          <w:szCs w:val="28"/>
        </w:rPr>
      </w:pPr>
    </w:p>
    <w:p>
      <w:pPr>
        <w:spacing w:line="580" w:lineRule="exact"/>
        <w:ind w:right="420" w:rightChars="200"/>
        <w:rPr>
          <w:rFonts w:eastAsia="仿宋_GB2312"/>
          <w:sz w:val="28"/>
          <w:szCs w:val="28"/>
        </w:rPr>
      </w:pPr>
    </w:p>
    <w:p>
      <w:pPr>
        <w:spacing w:line="580" w:lineRule="exact"/>
        <w:ind w:right="420" w:rightChars="200"/>
        <w:rPr>
          <w:rFonts w:eastAsia="仿宋_GB2312"/>
          <w:sz w:val="28"/>
          <w:szCs w:val="28"/>
        </w:rPr>
      </w:pPr>
    </w:p>
    <w:p>
      <w:pPr>
        <w:spacing w:line="580" w:lineRule="exact"/>
        <w:ind w:right="420" w:rightChars="200"/>
        <w:rPr>
          <w:rFonts w:eastAsia="仿宋_GB2312"/>
          <w:sz w:val="28"/>
          <w:szCs w:val="28"/>
        </w:rPr>
      </w:pPr>
    </w:p>
    <w:p>
      <w:pPr>
        <w:pStyle w:val="2"/>
        <w:rPr>
          <w:rFonts w:eastAsia="仿宋_GB2312"/>
        </w:rPr>
      </w:pPr>
    </w:p>
    <w:p>
      <w:pPr>
        <w:rPr>
          <w:rFonts w:eastAsia="仿宋_GB2312"/>
          <w:sz w:val="28"/>
          <w:szCs w:val="28"/>
        </w:rPr>
      </w:pPr>
    </w:p>
    <w:p>
      <w:pPr>
        <w:rPr>
          <w:rFonts w:eastAsia="仿宋_GB2312"/>
          <w:sz w:val="28"/>
          <w:szCs w:val="28"/>
        </w:rPr>
      </w:pPr>
    </w:p>
    <w:p>
      <w:pPr>
        <w:pStyle w:val="2"/>
      </w:pPr>
    </w:p>
    <w:p>
      <w:pPr>
        <w:spacing w:line="580" w:lineRule="exact"/>
        <w:ind w:right="420" w:rightChars="200"/>
        <w:rPr>
          <w:rFonts w:eastAsia="仿宋_GB2312"/>
          <w:sz w:val="28"/>
          <w:szCs w:val="28"/>
        </w:rPr>
      </w:pPr>
    </w:p>
    <w:p>
      <w:pPr>
        <w:spacing w:line="580" w:lineRule="exact"/>
        <w:ind w:right="420" w:rightChars="200"/>
      </w:pPr>
      <w:r>
        <w:rPr>
          <w:szCs w:val="22"/>
        </w:rPr>
        <mc:AlternateContent>
          <mc:Choice Requires="wps">
            <w:drawing>
              <wp:anchor distT="0" distB="0" distL="114300" distR="114300" simplePos="0" relativeHeight="251659264" behindDoc="0" locked="0" layoutInCell="1" allowOverlap="1">
                <wp:simplePos x="0" y="0"/>
                <wp:positionH relativeFrom="column">
                  <wp:posOffset>5715</wp:posOffset>
                </wp:positionH>
                <wp:positionV relativeFrom="paragraph">
                  <wp:posOffset>86995</wp:posOffset>
                </wp:positionV>
                <wp:extent cx="5624830" cy="0"/>
                <wp:effectExtent l="0" t="9525" r="13970" b="9525"/>
                <wp:wrapNone/>
                <wp:docPr id="1" name="直接连接符 1"/>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6.85pt;height:0pt;width:442.9pt;z-index:251659264;mso-width-relative:page;mso-height-relative:page;" filled="f" stroked="t" coordsize="21600,21600" o:gfxdata="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3hA3ltIA&#10;AAAGAQAADwAAAAAAAAABACAAAAA4AAAAZHJzL2Rvd25yZXYueG1sUEsBAhQAFAAAAAgAh07iQOtw&#10;6E/WAQAAmQMAAA4AAAAAAAAAAQAgAAAANwEAAGRycy9lMm9Eb2MueG1sUEsFBgAAAAAGAAYAWQEA&#10;AH8FAAAAAA==&#10;">
                <v:fill on="f" focussize="0,0"/>
                <v:stroke weight="1.5pt" color="#000000" joinstyle="round"/>
                <v:imagedata o:title=""/>
                <o:lock v:ext="edit" aspectratio="f"/>
              </v:line>
            </w:pict>
          </mc:Fallback>
        </mc:AlternateContent>
      </w:r>
      <w:r>
        <w:rPr>
          <w:szCs w:val="22"/>
        </w:rPr>
        <mc:AlternateContent>
          <mc:Choice Requires="wps">
            <w:drawing>
              <wp:anchor distT="0" distB="0" distL="114300" distR="114300" simplePos="0" relativeHeight="251660288" behindDoc="0" locked="0" layoutInCell="0" allowOverlap="1">
                <wp:simplePos x="0" y="0"/>
                <wp:positionH relativeFrom="column">
                  <wp:posOffset>5715</wp:posOffset>
                </wp:positionH>
                <wp:positionV relativeFrom="paragraph">
                  <wp:posOffset>401320</wp:posOffset>
                </wp:positionV>
                <wp:extent cx="5624830" cy="0"/>
                <wp:effectExtent l="0" t="9525" r="13970" b="9525"/>
                <wp:wrapNone/>
                <wp:docPr id="2" name="直接连接符 2"/>
                <wp:cNvGraphicFramePr/>
                <a:graphic xmlns:a="http://schemas.openxmlformats.org/drawingml/2006/main">
                  <a:graphicData uri="http://schemas.microsoft.com/office/word/2010/wordprocessingShape">
                    <wps:wsp>
                      <wps:cNvCnPr/>
                      <wps:spPr>
                        <a:xfrm>
                          <a:off x="0" y="0"/>
                          <a:ext cx="5624830" cy="0"/>
                        </a:xfrm>
                        <a:prstGeom prst="line">
                          <a:avLst/>
                        </a:prstGeom>
                        <a:ln w="1905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45pt;margin-top:31.6pt;height:0pt;width:442.9pt;z-index:251660288;mso-width-relative:page;mso-height-relative:page;" filled="f" stroked="t" coordsize="21600,21600" o:allowincell="f" o:gfxdata="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ASaiJ6&#10;0wAAAAYBAAAPAAAAAAAAAAEAIAAAADgAAABkcnMvZG93bnJldi54bWxQSwECFAAUAAAACACHTuJA&#10;oxTO59cBAACZAwAADgAAAAAAAAABACAAAAA4AQAAZHJzL2Uyb0RvYy54bWxQSwUGAAAAAAYABgBZ&#10;AQAAgQUAAAAA&#10;">
                <v:fill on="f" focussize="0,0"/>
                <v:stroke weight="1.5pt" color="#000000" joinstyle="round"/>
                <v:imagedata o:title=""/>
                <o:lock v:ext="edit" aspectratio="f"/>
              </v:line>
            </w:pict>
          </mc:Fallback>
        </mc:AlternateContent>
      </w:r>
      <w:r>
        <w:rPr>
          <w:rFonts w:eastAsia="仿宋_GB2312"/>
          <w:sz w:val="28"/>
          <w:szCs w:val="28"/>
        </w:rPr>
        <w:t xml:space="preserve">   天津</w:t>
      </w:r>
      <w:r>
        <w:rPr>
          <w:rFonts w:hint="eastAsia" w:eastAsia="仿宋_GB2312"/>
          <w:sz w:val="28"/>
          <w:szCs w:val="28"/>
        </w:rPr>
        <w:t xml:space="preserve">市蓟州区别山镇人民政府     </w:t>
      </w:r>
      <w:r>
        <w:rPr>
          <w:rFonts w:eastAsia="仿宋_GB2312"/>
          <w:sz w:val="28"/>
          <w:szCs w:val="28"/>
        </w:rPr>
        <w:t xml:space="preserve">    </w:t>
      </w:r>
      <w:r>
        <w:rPr>
          <w:rFonts w:hint="eastAsia" w:eastAsia="仿宋_GB2312"/>
          <w:sz w:val="28"/>
          <w:szCs w:val="28"/>
        </w:rPr>
        <w:t xml:space="preserve">  </w:t>
      </w:r>
      <w:r>
        <w:rPr>
          <w:rFonts w:hint="eastAsia" w:ascii="仿宋_GB2312" w:hAnsi="仿宋_GB2312" w:eastAsia="仿宋_GB2312" w:cs="仿宋_GB2312"/>
          <w:sz w:val="28"/>
          <w:szCs w:val="28"/>
        </w:rPr>
        <w:t xml:space="preserve"> 202</w:t>
      </w:r>
      <w:r>
        <w:rPr>
          <w:rFonts w:hint="eastAsia" w:ascii="仿宋_GB2312" w:hAnsi="仿宋_GB2312" w:cs="仿宋_GB2312"/>
          <w:sz w:val="28"/>
          <w:szCs w:val="28"/>
        </w:rPr>
        <w:t>3</w:t>
      </w:r>
      <w:r>
        <w:rPr>
          <w:rFonts w:hint="eastAsia" w:ascii="仿宋_GB2312" w:hAnsi="仿宋_GB2312" w:eastAsia="仿宋_GB2312" w:cs="仿宋_GB2312"/>
          <w:sz w:val="28"/>
          <w:szCs w:val="28"/>
        </w:rPr>
        <w:t>年5月</w:t>
      </w:r>
      <w:r>
        <w:rPr>
          <w:rFonts w:hint="default" w:ascii="仿宋_GB2312" w:hAnsi="仿宋_GB2312" w:eastAsia="仿宋_GB2312" w:cs="仿宋_GB2312"/>
          <w:sz w:val="28"/>
          <w:szCs w:val="28"/>
          <w:lang w:val="en"/>
        </w:rPr>
        <w:t>8</w:t>
      </w:r>
      <w:bookmarkStart w:id="0" w:name="_GoBack"/>
      <w:bookmarkEnd w:id="0"/>
      <w:r>
        <w:rPr>
          <w:rFonts w:eastAsia="仿宋_GB2312"/>
          <w:sz w:val="28"/>
          <w:szCs w:val="28"/>
        </w:rPr>
        <w:t>日印</w:t>
      </w:r>
      <w:r>
        <w:rPr>
          <w:rFonts w:hint="eastAsia" w:eastAsia="仿宋_GB2312"/>
          <w:sz w:val="28"/>
          <w:szCs w:val="28"/>
        </w:rPr>
        <w:t>发</w:t>
      </w:r>
    </w:p>
    <w:sectPr>
      <w:footerReference r:id="rId3" w:type="default"/>
      <w:pgSz w:w="11906" w:h="16838"/>
      <w:pgMar w:top="1871" w:right="1474" w:bottom="1701" w:left="1474" w:header="851" w:footer="992" w:gutter="0"/>
      <w:cols w:space="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等线">
    <w:altName w:val="华文仿宋"/>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等线">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Sans">
    <w:panose1 w:val="020B0603030804020204"/>
    <w:charset w:val="00"/>
    <w:family w:val="auto"/>
    <w:pitch w:val="default"/>
    <w:sig w:usb0="E7006EFF" w:usb1="D200FDFF" w:usb2="0A246029" w:usb3="0400200C" w:csb0="600001FF" w:csb1="DFFF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WAAAAZHJzL1BLAQIUABQAAAAIAIdO4kCz&#10;SVju0AAAAAUBAAAPAAAAAAAAAAEAIAAAADgAAABkcnMvZG93bnJldi54bWxQSwECFAAUAAAACACH&#10;TuJAF7rpKxYCAAAZBAAADgAAAAAAAAABACAAAAA1AQAAZHJzL2Uyb0RvYy54bWxQSwUGAAAAAAYA&#10;BgBZAQAAv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Y4YzEwZjVmMjE0NDJmMjE5MDAwM2M1ZGM5YmM3YzAifQ=="/>
  </w:docVars>
  <w:rsids>
    <w:rsidRoot w:val="00A121DF"/>
    <w:rsid w:val="000435D2"/>
    <w:rsid w:val="001875D6"/>
    <w:rsid w:val="00264DAD"/>
    <w:rsid w:val="002A392B"/>
    <w:rsid w:val="002A5489"/>
    <w:rsid w:val="003A72A1"/>
    <w:rsid w:val="00455905"/>
    <w:rsid w:val="005878EF"/>
    <w:rsid w:val="00615E96"/>
    <w:rsid w:val="008507A4"/>
    <w:rsid w:val="00A121DF"/>
    <w:rsid w:val="00AC56F5"/>
    <w:rsid w:val="00D1482C"/>
    <w:rsid w:val="00DC7B72"/>
    <w:rsid w:val="00E073D2"/>
    <w:rsid w:val="00FE45FE"/>
    <w:rsid w:val="070F28B2"/>
    <w:rsid w:val="0D3D2A5E"/>
    <w:rsid w:val="0E152ED7"/>
    <w:rsid w:val="1C7D5920"/>
    <w:rsid w:val="1FFB598A"/>
    <w:rsid w:val="2432701F"/>
    <w:rsid w:val="29E7C14F"/>
    <w:rsid w:val="2B37E122"/>
    <w:rsid w:val="31810E13"/>
    <w:rsid w:val="31E84BB4"/>
    <w:rsid w:val="324E000A"/>
    <w:rsid w:val="376BAAFF"/>
    <w:rsid w:val="37EFC3A1"/>
    <w:rsid w:val="38DC7EC1"/>
    <w:rsid w:val="3D0456A7"/>
    <w:rsid w:val="4F25752A"/>
    <w:rsid w:val="538F3C48"/>
    <w:rsid w:val="567761B3"/>
    <w:rsid w:val="5BFBF17C"/>
    <w:rsid w:val="5FFFD71F"/>
    <w:rsid w:val="6BE67BF3"/>
    <w:rsid w:val="6DFA2DA9"/>
    <w:rsid w:val="6E3221FA"/>
    <w:rsid w:val="6FF5198F"/>
    <w:rsid w:val="777C268A"/>
    <w:rsid w:val="789442F1"/>
    <w:rsid w:val="78FEBA0A"/>
    <w:rsid w:val="7D3FC32E"/>
    <w:rsid w:val="7D417C02"/>
    <w:rsid w:val="7E368F79"/>
    <w:rsid w:val="7F3C5E98"/>
    <w:rsid w:val="7FFD2FF4"/>
    <w:rsid w:val="A9F9DA2F"/>
    <w:rsid w:val="AFDB2AE7"/>
    <w:rsid w:val="BF9F9D2A"/>
    <w:rsid w:val="CF2FE1C6"/>
    <w:rsid w:val="CF5F2408"/>
    <w:rsid w:val="F7FB7FEF"/>
    <w:rsid w:val="FBFFEFF8"/>
    <w:rsid w:val="FDD37E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4"/>
    <w:basedOn w:val="1"/>
    <w:next w:val="1"/>
    <w:unhideWhenUsed/>
    <w:qFormat/>
    <w:uiPriority w:val="9"/>
    <w:pPr>
      <w:keepNext/>
      <w:keepLines/>
      <w:spacing w:before="280" w:after="290" w:line="376" w:lineRule="auto"/>
      <w:outlineLvl w:val="3"/>
    </w:pPr>
    <w:rPr>
      <w:rFonts w:ascii="Cambria" w:hAnsi="Cambria"/>
      <w:b/>
      <w:bCs/>
      <w:sz w:val="28"/>
      <w:szCs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footer"/>
    <w:basedOn w:val="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5">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szCs w:val="20"/>
    </w:rPr>
  </w:style>
  <w:style w:type="paragraph" w:styleId="7">
    <w:name w:val="Body Text First Indent 2"/>
    <w:basedOn w:val="1"/>
    <w:next w:val="3"/>
    <w:qFormat/>
    <w:uiPriority w:val="99"/>
    <w:pPr>
      <w:ind w:firstLine="420" w:firstLineChars="200"/>
    </w:pPr>
  </w:style>
  <w:style w:type="paragraph" w:customStyle="1" w:styleId="10">
    <w:name w:val="Body text|1"/>
    <w:basedOn w:val="1"/>
    <w:qFormat/>
    <w:uiPriority w:val="0"/>
    <w:pPr>
      <w:spacing w:line="394" w:lineRule="auto"/>
      <w:ind w:firstLine="400"/>
    </w:pPr>
    <w:rPr>
      <w:rFonts w:ascii="宋体" w:hAnsi="宋体" w:cs="宋体"/>
      <w:sz w:val="30"/>
      <w:szCs w:val="3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1635</Words>
  <Characters>1647</Characters>
  <Lines>12</Lines>
  <Paragraphs>3</Paragraphs>
  <TotalTime>4</TotalTime>
  <ScaleCrop>false</ScaleCrop>
  <LinksUpToDate>false</LinksUpToDate>
  <CharactersWithSpaces>1720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2021-01-31T15:15:00Z</dcterms:created>
  <dc:creator>Administrator</dc:creator>
  <cp:lastModifiedBy>kylin</cp:lastModifiedBy>
  <cp:lastPrinted>2023-05-12T08:25:00Z</cp:lastPrinted>
  <dcterms:modified xsi:type="dcterms:W3CDTF">2023-05-15T10:24:29Z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FE488925218B4CB6AB7E8C8D333651D5</vt:lpwstr>
  </property>
</Properties>
</file>