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w w:val="95"/>
          <w:lang w:val="en-US" w:eastAsia="zh-CN" w:bidi="ar-SA"/>
          <w:rFonts w:ascii="宋体" w:hAnsi="宋体"/>
        </w:rPr>
        <w:spacing w:line="600" w:lineRule="exact"/>
        <w:jc w:val="both"/>
      </w:pPr>
      <w:r>
        <w:rPr>
          <w:rStyle w:val="NormalCharacter"/>
          <w:szCs w:val="32"/>
          <w:sz w:val="32"/>
          <w:w w:val="95"/>
          <w:lang w:val="en-US" w:eastAsia="zh-CN" w:bidi="ar-SA"/>
          <w:rFonts w:ascii="宋体" w:hAnsi="宋体"/>
        </w:rPr>
      </w:r>
    </w:p>
    <w:p>
      <w:pPr>
        <w:pStyle w:val="Normal"/>
        <w:rPr>
          <w:rStyle w:val="NormalCharacter"/>
          <w:szCs w:val="44"/>
          <w:sz w:val="44"/>
          <w:w w:val="95"/>
          <w:lang w:val="en-US" w:eastAsia="zh-CN" w:bidi="ar-SA"/>
          <w:rFonts w:ascii="黑体" w:eastAsia="黑体"/>
        </w:rPr>
        <w:spacing w:line="600" w:lineRule="exact"/>
        <w:jc w:val="center"/>
      </w:pPr>
      <w:r>
        <w:rPr>
          <w:rStyle w:val="NormalCharacter"/>
          <w:szCs w:val="44"/>
          <w:sz w:val="44"/>
          <w:w w:val="95"/>
          <w:lang w:val="en-US" w:eastAsia="zh-CN" w:bidi="ar-SA"/>
          <w:rFonts w:ascii="黑体" w:eastAsia="黑体"/>
        </w:rPr>
        <w:t xml:space="preserve">天津市蓟州区东施古镇卫生院</w:t>
      </w:r>
    </w:p>
    <w:p>
      <w:pPr>
        <w:pStyle w:val="Normal"/>
        <w:rPr>
          <w:rStyle w:val="NormalCharacter"/>
          <w:szCs w:val="44"/>
          <w:sz w:val="44"/>
          <w:w w:val="95"/>
          <w:lang w:val="en-US" w:eastAsia="zh-CN" w:bidi="ar-SA"/>
          <w:rFonts w:ascii="黑体" w:eastAsia="黑体"/>
        </w:rPr>
        <w:spacing w:line="600" w:lineRule="exact"/>
        <w:jc w:val="center"/>
      </w:pPr>
      <w:r>
        <w:rPr>
          <w:rStyle w:val="NormalCharacter"/>
          <w:szCs w:val="44"/>
          <w:sz w:val="44"/>
          <w:w w:val="95"/>
          <w:lang w:val="en-US" w:eastAsia="zh-CN" w:bidi="ar-SA"/>
          <w:rFonts w:ascii="黑体" w:eastAsia="黑体"/>
        </w:rPr>
        <w:t xml:space="preserve">2018年度</w:t>
      </w:r>
      <w:r>
        <w:rPr>
          <w:rStyle w:val="NormalCharacter"/>
          <w:szCs w:val="44"/>
          <w:sz w:val="44"/>
          <w:w w:val="95"/>
          <w:lang w:val="en-US" w:eastAsia="zh-CN" w:bidi="ar-SA"/>
          <w:rFonts w:eastAsia="黑体"/>
        </w:rPr>
        <w:t xml:space="preserve">一般公共预算</w:t>
      </w:r>
      <w:r>
        <w:rPr>
          <w:rStyle w:val="NormalCharacter"/>
          <w:szCs w:val="44"/>
          <w:sz w:val="44"/>
          <w:w w:val="95"/>
          <w:lang w:val="en-US" w:eastAsia="zh-CN" w:bidi="ar-SA"/>
          <w:rFonts w:ascii="黑体" w:eastAsia="黑体"/>
        </w:rPr>
        <w:t xml:space="preserve">财政拨款“三公”经费决算情况说明</w:t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ascii="黑体" w:eastAsia="黑体"/>
        </w:rPr>
        <w:ind w:firstLine="600" w:firstLineChars="200"/>
        <w:spacing w:line="560" w:lineRule="exact"/>
      </w:pPr>
      <w:r>
        <w:rPr>
          <w:rStyle w:val="NormalCharacter"/>
          <w:szCs w:val="30"/>
          <w:sz w:val="30"/>
          <w:lang w:val="en-US" w:eastAsia="zh-CN" w:bidi="ar-SA"/>
          <w:rFonts w:ascii="黑体" w:eastAsia="黑体"/>
        </w:rPr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eastAsia="仿宋_GB2312"/>
        </w:rPr>
        <w:ind w:firstLine="600" w:firstLineChars="200"/>
        <w:spacing w:line="560" w:lineRule="exact"/>
      </w:pP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一般公共预算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财政拨款“三公”经费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，与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2017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相比增加（减少）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，主要原因是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本年度未用一般公共预算财政拨款列支“三公”经费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 。具体情况：</w:t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eastAsia="仿宋_GB2312"/>
        </w:rPr>
        <w:ind w:firstLine="600" w:firstLineChars="200"/>
        <w:spacing w:line="560" w:lineRule="exact"/>
      </w:pP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一、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年因公出国（境）费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算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元，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与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2017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相比增加（减少）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，主要原因是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无人员因公出国出境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。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2018年本单位组织的出国团组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个，出国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人次。</w:t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eastAsia="仿宋_GB2312"/>
        </w:rPr>
        <w:ind w:firstLine="600" w:firstLineChars="200"/>
        <w:spacing w:line="560" w:lineRule="exact"/>
        <w:jc w:val="both"/>
      </w:pP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二、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年公务用车购置及运行维护费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，其中公务用车运行维护费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，与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2017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年相比增加（减少）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，主要原因是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无公务用车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；公务用车购置费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，与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2017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相比增加（减少）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，主要原因是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未购置公务用车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。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年本单位公务用车保有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辆，购置公务用车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辆。</w:t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ind w:firstLine="645"/>
        <w:spacing w:line="560" w:lineRule="exact"/>
      </w:pP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三、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年公务接待费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，与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2017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决算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相比增加（减少）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元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，主要原因是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未安排公务接待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  。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2018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年本单位国内公务接待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批次，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人次；其中，外事接待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批次，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       </w:t>
      </w: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eastAsia="仿宋_GB2312"/>
        </w:rPr>
        <w:spacing w:line="560" w:lineRule="exact"/>
      </w:pP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0</w:t>
      </w:r>
      <w:r>
        <w:rPr>
          <w:rStyle w:val="NormalCharacter"/>
          <w:szCs w:val="30"/>
          <w:sz w:val="30"/>
          <w:lang w:val="en-US" w:eastAsia="zh-CN" w:bidi="ar-SA"/>
          <w:rFonts w:ascii="仿宋_GB2312" w:eastAsia="仿宋_GB2312"/>
        </w:rPr>
        <w:t xml:space="preserve"> </w:t>
      </w:r>
      <w:r>
        <w:rPr>
          <w:rStyle w:val="NormalCharacter"/>
          <w:szCs w:val="30"/>
          <w:sz w:val="30"/>
          <w:lang w:val="en-US" w:eastAsia="zh-CN" w:bidi="ar-SA"/>
          <w:rFonts w:eastAsia="仿宋_GB2312"/>
        </w:rPr>
        <w:t xml:space="preserve">人次。</w:t>
      </w:r>
    </w:p>
    <w:p>
      <w:pPr>
        <w:pStyle w:val="Normal"/>
        <w:rPr>
          <w:rStyle w:val="NormalCharacter"/>
          <w:szCs w:val="36"/>
          <w:sz w:val="36"/>
          <w:lang w:val="en-US" w:eastAsia="zh-CN" w:bidi="ar-SA"/>
          <w:rFonts w:ascii="黑体" w:eastAsia="黑体" w:hAnsi="宋体"/>
        </w:rPr>
        <w:ind w:firstLine="645"/>
        <w:spacing w:line="560" w:lineRule="exact"/>
      </w:pPr>
      <w:r>
        <w:rPr>
          <w:rStyle w:val="NormalCharacter"/>
          <w:szCs w:val="36"/>
          <w:sz w:val="36"/>
          <w:lang w:val="en-US" w:eastAsia="zh-CN" w:bidi="ar-SA"/>
          <w:rFonts w:ascii="黑体" w:eastAsia="黑体" w:hAnsi="宋体"/>
        </w:rPr>
      </w:r>
    </w:p>
    <w:sectPr>
      <w:vAlign w:val="top"/>
      <w:type w:val="nextPage"/>
      <w:headerReference w:type="default" r:id="rId3"/>
      <w:footerReference w:type="default" r:id="rId4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720" w:num="1"/>
      <w:docGrid w:charSpace="0" w:linePitch="312" w:type="lines"/>
      <w:pgNumType w:start="12">
        <w:fmt w:val="57"/>
      </w:pgNumType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  <w:font w:name="仿宋_GB2312">
    <w:altName w:val="仿宋"/>
    <w:charset w:val="86"/>
    <w:family w:val="modern"/>
    <w:panose1 w:val="02010609030101010101"/>
    <w:pitch w:val="default"/>
    <w:sig w:usb0="00000001" w:usb1="080e0000" w:usb2="00000010" w:usb3="00000000" w:csb0="00040000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lang w:val="en-US" w:eastAsia="zh-CN" w:bidi="ar-SA"/>
      </w:rPr>
      <w:widowControl/>
      <w:tabs>
        <w:tab w:leader="none" w:val="right" w:pos="4153"/>
        <w:tab w:leader="heavy" w:val="left" w:pos="8306"/>
      </w:tabs>
      <w:snapToGrid w:val="0"/>
      <w:spacing w:line="240" w:lineRule="atLeast"/>
    </w:pPr>
    <w:r>
      <w:rPr>
        <w:rStyle w:val="NormalCharacter"/>
        <w:szCs w:val="18"/>
        <w:sz w:val="18"/>
        <w:lang w:val="en-US" w:eastAsia="zh-CN" w:bidi="ar-SA"/>
      </w:rPr>
    </w:r>
  </w:p>
  <w:p>
    <w:pPr>
      <w:pStyle w:val="Normal"/>
      <w:rPr>
        <w:rStyle w:val="NormalCharacter"/>
        <w:sz w:val="24"/>
        <w:lang w:val="en-US" w:eastAsia="zh-CN" w:bidi="ar-SA"/>
      </w:rPr>
      <w:spacing w:line="360" w:lineRule="atLeast"/>
    </w:pPr>
    <w:r>
      <w:rPr>
        <w:rStyle w:val="NormalCharacter"/>
        <w:sz w:val="24"/>
        <w:lang w:val="en-US" w:eastAsia="zh-CN" w:bidi="ar-SA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lang w:val="en-US" w:eastAsia="zh-CN" w:bidi="ar-SA"/>
      </w:rPr>
      <w:widowControl/>
      <w:tabs>
        <w:tab w:leader="none" w:val="right" w:pos="4153"/>
        <w:tab w:leader="heavy" w:val="left" w:pos="8306"/>
      </w:tabs>
      <w:snapToGrid w:val="0"/>
      <w:spacing w:line="240" w:lineRule="atLeast"/>
      <w:jc w:val="center"/>
      <w:pBdr>
        <w:bottom w:space="0" w:color="000000" w:val="none" w:sz="0"/>
      </w:pBdr>
    </w:pPr>
    <w:r>
      <w:rPr>
        <w:rStyle w:val="NormalCharacter"/>
        <w:szCs w:val="18"/>
        <w:sz w:val="18"/>
        <w:lang w:val="en-US" w:eastAsia="zh-CN" w:bidi="ar-SA"/>
      </w:rPr>
    </w:r>
  </w:p>
  <w:p>
    <w:pPr>
      <w:pStyle w:val="Normal"/>
      <w:rPr>
        <w:rStyle w:val="NormalCharacter"/>
        <w:sz w:val="24"/>
        <w:lang w:val="en-US" w:eastAsia="zh-CN" w:bidi="ar-SA"/>
      </w:rPr>
      <w:spacing w:line="360" w:lineRule="atLeast"/>
    </w:pPr>
    <w:r>
      <w:rPr>
        <w:rStyle w:val="NormalCharacter"/>
        <w:sz w:val="24"/>
        <w:lang w:val="en-US" w:eastAsia="zh-CN" w:bidi="ar-SA"/>
      </w:rPr>
    </w:r>
  </w:p>
</w:hdr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ulTrailSpac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 w:val="24"/>
        <w:lang w:val="en-US" w:eastAsia="zh-CN" w:bidi="ar-SA"/>
      </w:rPr>
      <w:spacing w:line="360" w:lineRule="atLeast"/>
    </w:pPr>
    <w:rPr>
      <w:sz w:val="24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</w:style>
  <w:style w:type="character" w:styleId="UserStyle_0">
    <w:name w:val="UserStyle_0"/>
    <w:next w:val="UserStyle_0"/>
    <w:link w:val="Footer"/>
    <w:semiHidden/>
    <w:rPr>
      <w:szCs w:val="18"/>
      <w:sz w:val="18"/>
    </w:rPr>
  </w:style>
  <w:style w:type="character" w:styleId="UserStyle_1">
    <w:name w:val="UserStyle_1"/>
    <w:next w:val="UserStyle_1"/>
    <w:link w:val="Header"/>
    <w:semiHidden/>
    <w:rPr>
      <w:szCs w:val="18"/>
      <w:sz w:val="18"/>
    </w:rPr>
  </w:style>
  <w:style w:type="paragraph" w:styleId="Header">
    <w:name w:val="Header"/>
    <w:basedOn w:val="Normal"/>
    <w:next w:val="Header"/>
    <w:link w:val="UserStyle_1"/>
    <w:pPr>
      <w:rPr>
        <w:szCs w:val="18"/>
        <w:sz w:val="18"/>
        <w:lang w:val="en-US" w:eastAsia="zh-CN" w:bidi="ar-SA"/>
      </w:rPr>
      <w:tabs>
        <w:tab w:leader="none" w:val="right" w:pos="4153"/>
        <w:tab w:leader="heavy" w:val="left" w:pos="8306"/>
      </w:tabs>
      <w:snapToGrid w:val="0"/>
      <w:spacing w:line="240" w:lineRule="atLeast"/>
      <w:jc w:val="center"/>
      <w:pBdr>
        <w:bottom w:space="1" w:color="000000" w:val="single" w:sz="6"/>
      </w:pBdr>
    </w:pPr>
    <w:rPr>
      <w:szCs w:val="18"/>
      <w:sz w:val="18"/>
      <w:lang w:val="en-US" w:eastAsia="zh-CN" w:bidi="ar-SA"/>
    </w:rPr>
  </w:style>
  <w:style w:type="paragraph" w:styleId="Footer">
    <w:name w:val="Footer"/>
    <w:basedOn w:val="Normal"/>
    <w:next w:val="Footer"/>
    <w:link w:val="UserStyle_0"/>
    <w:pPr>
      <w:rPr>
        <w:szCs w:val="18"/>
        <w:sz w:val="18"/>
        <w:lang w:val="en-US" w:eastAsia="zh-CN" w:bidi="ar-SA"/>
      </w:rPr>
      <w:tabs>
        <w:tab w:leader="none" w:val="right" w:pos="4153"/>
        <w:tab w:leader="heavy" w:val="left" w:pos="8306"/>
      </w:tabs>
      <w:snapToGrid w:val="0"/>
      <w:spacing w:line="240" w:lineRule="atLeast"/>
    </w:pPr>
    <w:rPr>
      <w:szCs w:val="18"/>
      <w:sz w:val="18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/Relationships>
</file>