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r>
        <w:rPr>
          <w:rFonts w:eastAsia="方正小标宋简体"/>
          <w:sz w:val="44"/>
          <w:szCs w:val="44"/>
        </w:rPr>
        <w:t>关于印发</w:t>
      </w:r>
      <w:r>
        <w:rPr>
          <w:rFonts w:hint="eastAsia" w:eastAsia="方正小标宋简体"/>
          <w:sz w:val="44"/>
          <w:szCs w:val="44"/>
        </w:rPr>
        <w:t>《</w:t>
      </w:r>
      <w:r>
        <w:rPr>
          <w:rFonts w:eastAsia="方正小标宋简体"/>
          <w:sz w:val="44"/>
          <w:szCs w:val="44"/>
        </w:rPr>
        <w:t>2019年</w:t>
      </w:r>
      <w:r>
        <w:rPr>
          <w:rFonts w:hint="eastAsia" w:eastAsia="方正小标宋简体"/>
          <w:sz w:val="44"/>
          <w:szCs w:val="44"/>
        </w:rPr>
        <w:t>蓟州区</w:t>
      </w:r>
      <w:r>
        <w:rPr>
          <w:rFonts w:eastAsia="方正小标宋简体"/>
          <w:sz w:val="44"/>
          <w:szCs w:val="44"/>
        </w:rPr>
        <w:t>卫生健康普法依法治理工作意见</w:t>
      </w:r>
      <w:r>
        <w:rPr>
          <w:rFonts w:hint="eastAsia" w:eastAsia="方正小标宋简体"/>
          <w:sz w:val="44"/>
          <w:szCs w:val="44"/>
        </w:rPr>
        <w:t>》</w:t>
      </w:r>
      <w:r>
        <w:rPr>
          <w:rFonts w:eastAsia="方正小标宋简体"/>
          <w:sz w:val="44"/>
          <w:szCs w:val="44"/>
        </w:rPr>
        <w:t>的通知</w:t>
      </w:r>
    </w:p>
    <w:p>
      <w:pPr>
        <w:spacing w:line="640" w:lineRule="exact"/>
        <w:jc w:val="center"/>
        <w:rPr>
          <w:rFonts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委属各单位、机关各科室、社会办医机构：</w:t>
      </w:r>
    </w:p>
    <w:p>
      <w:pPr>
        <w:pStyle w:val="4"/>
        <w:spacing w:line="560" w:lineRule="exact"/>
        <w:ind w:firstLine="640" w:firstLineChars="200"/>
        <w:jc w:val="both"/>
        <w:textAlignment w:val="baseline"/>
        <w:rPr>
          <w:rFonts w:ascii="仿宋_GB2312" w:hAnsi="Times New Roman" w:eastAsia="仿宋_GB2312"/>
          <w:sz w:val="32"/>
          <w:szCs w:val="32"/>
        </w:rPr>
      </w:pPr>
      <w:r>
        <w:rPr>
          <w:rFonts w:hint="eastAsia" w:ascii="仿宋_GB2312" w:hAnsi="Times New Roman" w:eastAsia="仿宋_GB2312"/>
          <w:sz w:val="32"/>
          <w:szCs w:val="32"/>
        </w:rPr>
        <w:t>为深入推进卫生健康行业普法依法治理工作，我委制定了《2019年天津市卫生健康普法依法治理工作意见》。现印发给你们，请结合实际贯彻落实。</w:t>
      </w:r>
    </w:p>
    <w:p>
      <w:pPr>
        <w:spacing w:line="560" w:lineRule="exact"/>
        <w:ind w:firstLine="2864" w:firstLineChars="895"/>
        <w:rPr>
          <w:rFonts w:ascii="仿宋_GB2312" w:eastAsia="仿宋_GB2312"/>
          <w:sz w:val="32"/>
          <w:szCs w:val="32"/>
        </w:rPr>
      </w:pPr>
      <w:r>
        <w:rPr>
          <w:rFonts w:hint="eastAsia" w:ascii="仿宋_GB2312" w:eastAsia="仿宋_GB2312"/>
          <w:sz w:val="32"/>
          <w:szCs w:val="32"/>
        </w:rPr>
        <w:t>　　　　　</w:t>
      </w:r>
    </w:p>
    <w:p>
      <w:pPr>
        <w:spacing w:line="560" w:lineRule="exact"/>
        <w:ind w:firstLine="2864" w:firstLineChars="895"/>
        <w:rPr>
          <w:rFonts w:ascii="仿宋_GB2312" w:eastAsia="仿宋_GB2312"/>
          <w:sz w:val="32"/>
          <w:szCs w:val="32"/>
        </w:rPr>
      </w:pPr>
      <w:r>
        <w:rPr>
          <w:rFonts w:hint="eastAsia" w:ascii="仿宋_GB2312" w:eastAsia="仿宋_GB2312"/>
          <w:sz w:val="32"/>
          <w:szCs w:val="32"/>
        </w:rPr>
        <w:t>　</w:t>
      </w:r>
    </w:p>
    <w:p>
      <w:pPr>
        <w:adjustRightInd w:val="0"/>
        <w:snapToGrid w:val="0"/>
        <w:spacing w:line="560" w:lineRule="exact"/>
        <w:ind w:firstLine="3680" w:firstLineChars="115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天津市蓟州区卫生健康委员会</w:t>
      </w:r>
    </w:p>
    <w:p>
      <w:pPr>
        <w:spacing w:line="560" w:lineRule="exact"/>
        <w:ind w:right="-57" w:rightChars="-27" w:firstLine="3180" w:firstLineChars="994"/>
        <w:rPr>
          <w:rFonts w:ascii="仿宋_GB2312" w:eastAsia="仿宋_GB2312"/>
          <w:sz w:val="32"/>
          <w:szCs w:val="32"/>
        </w:rPr>
      </w:pPr>
      <w:r>
        <w:rPr>
          <w:rFonts w:hint="eastAsia" w:ascii="仿宋_GB2312" w:eastAsia="仿宋_GB2312"/>
          <w:sz w:val="32"/>
          <w:szCs w:val="32"/>
        </w:rPr>
        <w:t>　　　    2019年5月29日　</w:t>
      </w:r>
    </w:p>
    <w:p>
      <w:pPr>
        <w:spacing w:line="560" w:lineRule="exact"/>
        <w:ind w:left="2163" w:leftChars="250" w:hanging="1638" w:hangingChars="512"/>
        <w:rPr>
          <w:rFonts w:ascii="仿宋_GB2312" w:eastAsia="仿宋_GB2312"/>
          <w:sz w:val="32"/>
          <w:szCs w:val="32"/>
        </w:rPr>
      </w:pPr>
      <w:r>
        <w:rPr>
          <w:rFonts w:hint="eastAsia" w:ascii="仿宋_GB2312" w:eastAsia="仿宋_GB2312"/>
          <w:sz w:val="32"/>
          <w:szCs w:val="32"/>
        </w:rPr>
        <w:t>（此件主动公开）</w:t>
      </w: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560" w:lineRule="exact"/>
        <w:ind w:left="2163" w:leftChars="250" w:hanging="1638" w:hangingChars="512"/>
        <w:rPr>
          <w:rFonts w:ascii="仿宋_GB2312" w:eastAsia="仿宋_GB2312"/>
          <w:sz w:val="32"/>
          <w:szCs w:val="32"/>
        </w:rPr>
      </w:pPr>
    </w:p>
    <w:p>
      <w:pPr>
        <w:spacing w:line="640" w:lineRule="exact"/>
        <w:jc w:val="center"/>
        <w:rPr>
          <w:rFonts w:ascii="方正小标宋简体" w:eastAsia="方正小标宋简体"/>
          <w:bCs/>
          <w:sz w:val="44"/>
          <w:szCs w:val="44"/>
        </w:rPr>
      </w:pPr>
      <w:r>
        <w:rPr>
          <w:rFonts w:hint="eastAsia" w:ascii="方正小标宋简体" w:eastAsia="方正小标宋简体"/>
          <w:bCs/>
          <w:sz w:val="44"/>
          <w:szCs w:val="44"/>
        </w:rPr>
        <w:t>2019年蓟州区卫生健康普法依法治理</w:t>
      </w:r>
    </w:p>
    <w:p>
      <w:pPr>
        <w:spacing w:line="640" w:lineRule="exact"/>
        <w:jc w:val="center"/>
        <w:rPr>
          <w:rFonts w:ascii="方正小标宋简体" w:eastAsia="方正小标宋简体"/>
          <w:bCs/>
          <w:sz w:val="44"/>
          <w:szCs w:val="44"/>
        </w:rPr>
      </w:pPr>
      <w:r>
        <w:rPr>
          <w:rFonts w:hint="eastAsia" w:ascii="方正小标宋简体" w:eastAsia="方正小标宋简体"/>
          <w:bCs/>
          <w:sz w:val="44"/>
          <w:szCs w:val="44"/>
        </w:rPr>
        <w:t>工作意见</w:t>
      </w:r>
    </w:p>
    <w:p>
      <w:pPr>
        <w:spacing w:line="640" w:lineRule="exact"/>
        <w:ind w:firstLine="640" w:firstLineChars="200"/>
        <w:rPr>
          <w:rFonts w:eastAsia="方正小标宋简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是新中国成立70周年，是深入学习贯彻习近平新时代中国特色社会主义思想和党的十九大精神的重要一年，是决胜全面建成小康社会的关键一年。为做好今年的普法依法治理工作，全面推进卫生健康法治建设，根据中共天津市蓟州区委宣传部 天津市蓟州区司法局《关于印发2019年蓟州区普法依法治理工作要点的通知》（蓟司法发〔2019〕7号）精神，围绕卫生健康工作重点，制定卫生健康普法依法治理工作意见。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今年普法依法治理工作的总体思路是：坚持以习近平新时代中国特色社会主义思想为指导，深入贯彻落实党的十九大和十九届二中、三中全会精神，认真贯彻落实中央全面依法治国委员会会议精神，按照市委十一届六次全会和市委全面依法治市委员会第一次会议部署要求，紧紧围绕全市卫生健康重点工作开展普法依法治理，着力落实“谁执法谁普法”普法责任制，着力开展基层依法治理，着力建设“智慧普法”，推动“七五”普法规划全面落实，提高新时代全民普法的实效性，提高人民群众对卫生健康法治宣传工作的满意度，为人民群众提供高质量全方位全周期健康服务营造和谐稳定的社会环境和良好法治环境。</w:t>
      </w:r>
    </w:p>
    <w:p>
      <w:pPr>
        <w:spacing w:line="560" w:lineRule="exact"/>
        <w:ind w:firstLine="640" w:firstLineChars="200"/>
        <w:rPr>
          <w:rFonts w:eastAsia="黑体"/>
          <w:sz w:val="32"/>
          <w:szCs w:val="32"/>
        </w:rPr>
      </w:pPr>
      <w:r>
        <w:rPr>
          <w:rFonts w:eastAsia="黑体"/>
          <w:sz w:val="32"/>
          <w:szCs w:val="32"/>
        </w:rPr>
        <w:t>一、以习近平新时代中国特色社会主义思想为统领，推动卫生健康普法依法治理工作持续深入</w:t>
      </w:r>
    </w:p>
    <w:p>
      <w:pPr>
        <w:spacing w:line="560" w:lineRule="exact"/>
        <w:ind w:firstLine="642" w:firstLineChars="200"/>
        <w:rPr>
          <w:rFonts w:eastAsia="楷体_GB2312"/>
          <w:b/>
          <w:sz w:val="32"/>
          <w:szCs w:val="32"/>
        </w:rPr>
      </w:pPr>
      <w:r>
        <w:rPr>
          <w:rFonts w:eastAsia="楷体_GB2312"/>
          <w:b/>
          <w:sz w:val="32"/>
          <w:szCs w:val="32"/>
        </w:rPr>
        <w:t>（一）深入学习领会习近平新时代中国特色社会主义思想</w:t>
      </w:r>
    </w:p>
    <w:p>
      <w:pPr>
        <w:spacing w:line="560" w:lineRule="exact"/>
        <w:ind w:firstLine="640" w:firstLineChars="200"/>
        <w:rPr>
          <w:rFonts w:eastAsia="仿宋_GB2312"/>
          <w:sz w:val="32"/>
          <w:szCs w:val="32"/>
        </w:rPr>
      </w:pPr>
      <w:r>
        <w:rPr>
          <w:rFonts w:eastAsia="仿宋_GB2312"/>
          <w:sz w:val="32"/>
          <w:szCs w:val="32"/>
        </w:rPr>
        <w:t>继续深入学习领会习近平新时代中国特色社会主义思想，以此统一思想、指导工作。深入学习习近平总书记在中央全面依法治国委员会会议和中央政法工作会议的重要讲话，深入贯彻落实习近平总书记关于法治宣传教育的重要论述。加强卫生健康依法治理培训，进一步提高依法治理工作者政治站位，树牢“四个意识”，坚定“四个自信”，实际行动做到“两个维护”。</w:t>
      </w:r>
    </w:p>
    <w:p>
      <w:pPr>
        <w:spacing w:line="560" w:lineRule="exact"/>
        <w:ind w:firstLine="642" w:firstLineChars="200"/>
        <w:rPr>
          <w:rFonts w:eastAsia="楷体_GB2312"/>
          <w:sz w:val="32"/>
          <w:szCs w:val="32"/>
        </w:rPr>
      </w:pPr>
      <w:r>
        <w:rPr>
          <w:rFonts w:eastAsia="楷体_GB2312"/>
          <w:b/>
          <w:sz w:val="32"/>
          <w:szCs w:val="32"/>
        </w:rPr>
        <w:t>（二）深入宣传习近平总书记全面依法治国新理念新思想新战略</w:t>
      </w:r>
    </w:p>
    <w:p>
      <w:pPr>
        <w:spacing w:line="560" w:lineRule="exact"/>
        <w:ind w:firstLine="640" w:firstLineChars="200"/>
        <w:rPr>
          <w:rFonts w:eastAsia="仿宋_GB2312"/>
          <w:sz w:val="32"/>
          <w:szCs w:val="32"/>
        </w:rPr>
      </w:pPr>
      <w:r>
        <w:rPr>
          <w:rFonts w:eastAsia="仿宋_GB2312"/>
          <w:sz w:val="32"/>
          <w:szCs w:val="32"/>
        </w:rPr>
        <w:t>推动卫生健康系统各级党组积极学习习近平总书记全面依法治国新理念新思想新战略。围绕庆祝新中国成立70周年开展主题宣传活动，统筹推进各项法治宣传教育工作。突出宣传党章，集中组织开展党内法规宣传教育，引导全行业不断增强推进全面依法治国的政治自觉和行动自觉。</w:t>
      </w:r>
    </w:p>
    <w:p>
      <w:pPr>
        <w:spacing w:line="560" w:lineRule="exact"/>
        <w:ind w:firstLine="640" w:firstLineChars="200"/>
        <w:rPr>
          <w:rFonts w:eastAsia="黑体"/>
          <w:sz w:val="32"/>
          <w:szCs w:val="32"/>
        </w:rPr>
      </w:pPr>
      <w:r>
        <w:rPr>
          <w:rFonts w:eastAsia="黑体"/>
          <w:sz w:val="32"/>
          <w:szCs w:val="32"/>
        </w:rPr>
        <w:t>二、围绕党和国家工作大局，深化主题法治宣传实践活动</w:t>
      </w:r>
    </w:p>
    <w:p>
      <w:pPr>
        <w:spacing w:line="560" w:lineRule="exact"/>
        <w:ind w:firstLine="642" w:firstLineChars="200"/>
        <w:rPr>
          <w:rFonts w:eastAsia="楷体_GB2312"/>
          <w:sz w:val="32"/>
          <w:szCs w:val="32"/>
        </w:rPr>
      </w:pPr>
      <w:r>
        <w:rPr>
          <w:rFonts w:eastAsia="楷体_GB2312"/>
          <w:b/>
          <w:sz w:val="32"/>
          <w:szCs w:val="32"/>
        </w:rPr>
        <w:t>（一）继续深入开展宪法宣传教育活动</w:t>
      </w:r>
    </w:p>
    <w:p>
      <w:pPr>
        <w:spacing w:line="560" w:lineRule="exact"/>
        <w:ind w:firstLine="640" w:firstLineChars="200"/>
        <w:rPr>
          <w:rFonts w:eastAsia="仿宋_GB2312"/>
          <w:sz w:val="32"/>
          <w:szCs w:val="32"/>
        </w:rPr>
      </w:pPr>
      <w:r>
        <w:rPr>
          <w:rFonts w:eastAsia="仿宋_GB2312"/>
          <w:sz w:val="32"/>
          <w:szCs w:val="32"/>
        </w:rPr>
        <w:t>在卫生健康系统继续深入开展尊崇宪法、学习宪法、遵守宪法、维护宪法、运用宪法宣传教育活动。按照</w:t>
      </w:r>
      <w:r>
        <w:rPr>
          <w:rFonts w:hint="eastAsia" w:eastAsia="仿宋_GB2312"/>
          <w:sz w:val="32"/>
          <w:szCs w:val="32"/>
        </w:rPr>
        <w:t>区</w:t>
      </w:r>
      <w:r>
        <w:rPr>
          <w:rFonts w:eastAsia="仿宋_GB2312"/>
          <w:sz w:val="32"/>
          <w:szCs w:val="32"/>
        </w:rPr>
        <w:t>司法局部署，开展宪法进单位、进医院、进公共场所等形式多样的宪法法律宣传和法治实践活动，推动宪法宣传对公共场所和基层的广泛覆盖。组织开展好2019年国家宪法日和“宪法宣传周”集中宣传，不断提升群众法治意识，促进法治信仰内化成公民法律意识和行动自觉。</w:t>
      </w:r>
    </w:p>
    <w:p>
      <w:pPr>
        <w:spacing w:line="560" w:lineRule="exact"/>
        <w:ind w:firstLine="642" w:firstLineChars="200"/>
        <w:jc w:val="left"/>
        <w:rPr>
          <w:rFonts w:eastAsia="楷体_GB2312"/>
          <w:sz w:val="32"/>
          <w:szCs w:val="32"/>
        </w:rPr>
      </w:pPr>
      <w:r>
        <w:rPr>
          <w:rFonts w:eastAsia="楷体_GB2312"/>
          <w:b/>
          <w:sz w:val="32"/>
          <w:szCs w:val="32"/>
        </w:rPr>
        <w:t>（二）开展与人民群众切身利益相关的主题法治宣传活动</w:t>
      </w:r>
    </w:p>
    <w:p>
      <w:pPr>
        <w:spacing w:line="560" w:lineRule="exact"/>
        <w:ind w:firstLine="640" w:firstLineChars="200"/>
        <w:jc w:val="left"/>
        <w:rPr>
          <w:rFonts w:eastAsia="仿宋_GB2312"/>
          <w:sz w:val="32"/>
          <w:szCs w:val="32"/>
        </w:rPr>
      </w:pPr>
      <w:r>
        <w:rPr>
          <w:rFonts w:eastAsia="仿宋_GB2312"/>
          <w:sz w:val="32"/>
          <w:szCs w:val="32"/>
        </w:rPr>
        <w:t>利用“爱国卫生月”、“世界无烟日”、“职业病防治法宣传周”、“生活饮用水宣传周”、“世界艾滋病日”等，将重点普法宣传节段与日常法治宣传教育紧密结合，深化卫生健康法律法规宣传，提高全社会知晓度和参与度。加强扫黑除恶专项斗争中的法治宣传教育工作，维护良好的医疗卫生秩序，保障人民健康权益。大力开展国家安全和国防安全、经济安全、交通安全、生产安全、消防安全、妇女儿童权益保障等领域的法律法规宣传，引导群众自觉守法、遇事找法、解决问题靠法。</w:t>
      </w:r>
    </w:p>
    <w:p>
      <w:pPr>
        <w:spacing w:line="560" w:lineRule="exact"/>
        <w:ind w:firstLine="642" w:firstLineChars="200"/>
        <w:jc w:val="left"/>
        <w:rPr>
          <w:rFonts w:eastAsia="楷体_GB2312"/>
          <w:sz w:val="32"/>
          <w:szCs w:val="32"/>
        </w:rPr>
      </w:pPr>
      <w:r>
        <w:rPr>
          <w:rFonts w:eastAsia="楷体_GB2312"/>
          <w:b/>
          <w:sz w:val="32"/>
          <w:szCs w:val="32"/>
        </w:rPr>
        <w:t>（三）围绕</w:t>
      </w:r>
      <w:r>
        <w:rPr>
          <w:rFonts w:hint="eastAsia" w:eastAsia="楷体_GB2312"/>
          <w:b/>
          <w:sz w:val="32"/>
          <w:szCs w:val="32"/>
        </w:rPr>
        <w:t>区委区政府</w:t>
      </w:r>
      <w:r>
        <w:rPr>
          <w:rFonts w:eastAsia="楷体_GB2312"/>
          <w:b/>
          <w:sz w:val="32"/>
          <w:szCs w:val="32"/>
        </w:rPr>
        <w:t>重点工作开展法治宣传教育工作</w:t>
      </w:r>
    </w:p>
    <w:p>
      <w:pPr>
        <w:spacing w:line="560" w:lineRule="exact"/>
        <w:ind w:firstLine="640" w:firstLineChars="200"/>
        <w:jc w:val="left"/>
        <w:rPr>
          <w:rFonts w:eastAsia="仿宋_GB2312"/>
          <w:sz w:val="32"/>
          <w:szCs w:val="32"/>
        </w:rPr>
      </w:pPr>
      <w:r>
        <w:rPr>
          <w:rFonts w:eastAsia="仿宋_GB2312"/>
          <w:sz w:val="32"/>
          <w:szCs w:val="32"/>
        </w:rPr>
        <w:t>围绕中心、服务大局，开展普法主题实践活动。围绕服务打好三大攻坚战，找准卫生健康普法依法治理工作的切入点和着力点。围绕防范化解重大风险，加强医疗安全、医疗纠纷预防与处置、信访工作等相关法律法规学习宣传，提高运用法治思维和法治方式化解风险的能力。围绕精准扶贫，开展扶贫相关法治宣传教育活动，推进“依法扶贫”。围绕污染防治，加强医疗废物管理等方面的法律法规宣传，让环境保护和法治观念深入人心。</w:t>
      </w:r>
    </w:p>
    <w:p>
      <w:pPr>
        <w:spacing w:line="560" w:lineRule="exact"/>
        <w:ind w:firstLine="640" w:firstLineChars="200"/>
        <w:rPr>
          <w:rFonts w:eastAsia="黑体"/>
          <w:sz w:val="32"/>
          <w:szCs w:val="32"/>
        </w:rPr>
      </w:pPr>
      <w:r>
        <w:rPr>
          <w:rFonts w:eastAsia="黑体"/>
          <w:sz w:val="32"/>
          <w:szCs w:val="32"/>
        </w:rPr>
        <w:t>三、抓好重点对象法治宣传教育，带动全社会自觉学法用法</w:t>
      </w:r>
    </w:p>
    <w:p>
      <w:pPr>
        <w:spacing w:line="560" w:lineRule="exact"/>
        <w:ind w:firstLine="642" w:firstLineChars="200"/>
        <w:jc w:val="left"/>
        <w:rPr>
          <w:rFonts w:eastAsia="楷体_GB2312"/>
          <w:sz w:val="32"/>
          <w:szCs w:val="32"/>
        </w:rPr>
      </w:pPr>
      <w:r>
        <w:rPr>
          <w:rFonts w:eastAsia="楷体_GB2312"/>
          <w:b/>
          <w:sz w:val="32"/>
          <w:szCs w:val="32"/>
        </w:rPr>
        <w:t>（一）深入推进全体公民法治宣传教育</w:t>
      </w:r>
    </w:p>
    <w:p>
      <w:pPr>
        <w:spacing w:line="560" w:lineRule="exact"/>
        <w:ind w:firstLine="640" w:firstLineChars="200"/>
        <w:jc w:val="left"/>
        <w:rPr>
          <w:rFonts w:eastAsia="仿宋_GB2312"/>
          <w:sz w:val="32"/>
          <w:szCs w:val="32"/>
        </w:rPr>
      </w:pPr>
      <w:r>
        <w:rPr>
          <w:rFonts w:eastAsia="仿宋_GB2312"/>
          <w:sz w:val="32"/>
          <w:szCs w:val="32"/>
        </w:rPr>
        <w:t>坚持以人民为中心的发展思想，加大全民普法力度。结合卫生健康工作特点，通过各种形式，面向社会开展《职业病防治法》《传染病防治法》《老年人权益保障法》《艾滋病防治条例》《天津市爱国卫生工作条例》《天津市控制吸烟条例》等卫生健康法律法规宣传教育，把普法作为公共法律服务的重要内容，为人民群众提供及时精准普惠的法治宣传教育，不断增强人民群众在卫生健康法治领域的获得感、幸福感、安全感。</w:t>
      </w:r>
    </w:p>
    <w:p>
      <w:pPr>
        <w:spacing w:line="560" w:lineRule="exact"/>
        <w:ind w:firstLine="642" w:firstLineChars="200"/>
        <w:jc w:val="left"/>
        <w:rPr>
          <w:rFonts w:eastAsia="楷体_GB2312"/>
          <w:b/>
          <w:sz w:val="32"/>
          <w:szCs w:val="32"/>
        </w:rPr>
      </w:pPr>
      <w:r>
        <w:rPr>
          <w:rFonts w:eastAsia="楷体_GB2312"/>
          <w:b/>
          <w:sz w:val="32"/>
          <w:szCs w:val="32"/>
        </w:rPr>
        <w:t>（二）继续抓好领导干部学法用法工作</w:t>
      </w:r>
    </w:p>
    <w:p>
      <w:pPr>
        <w:spacing w:line="560" w:lineRule="exact"/>
        <w:ind w:firstLine="640" w:firstLineChars="200"/>
        <w:jc w:val="left"/>
        <w:rPr>
          <w:rFonts w:eastAsia="仿宋_GB2312"/>
          <w:sz w:val="32"/>
          <w:szCs w:val="32"/>
        </w:rPr>
      </w:pPr>
      <w:r>
        <w:rPr>
          <w:rFonts w:eastAsia="仿宋_GB2312"/>
          <w:sz w:val="32"/>
          <w:szCs w:val="32"/>
        </w:rPr>
        <w:t>全面落实《天津市关于完善国家工作人员学法用法制度的意见》，加强卫生健康系统国家工作人员宪法法律知识和法律意识教育，牢固树立宪法法律权威。推动落实卫生健康系统领导干部带头讲法、年终述法、旁听庭审和行政机关负责人出庭应诉等制度。组织开展卫生健康系统领导干部网上学法用法考试工作，推动领导干部带头作尊法学法守法用法模范。</w:t>
      </w:r>
    </w:p>
    <w:p>
      <w:pPr>
        <w:spacing w:line="560" w:lineRule="exact"/>
        <w:ind w:firstLine="642" w:firstLineChars="200"/>
        <w:jc w:val="left"/>
        <w:rPr>
          <w:rFonts w:eastAsia="楷体_GB2312"/>
          <w:sz w:val="32"/>
          <w:szCs w:val="32"/>
        </w:rPr>
      </w:pPr>
      <w:r>
        <w:rPr>
          <w:rFonts w:eastAsia="楷体_GB2312"/>
          <w:b/>
          <w:sz w:val="32"/>
          <w:szCs w:val="32"/>
        </w:rPr>
        <w:t>（三）持续加强卫生健康工作者法治教育</w:t>
      </w:r>
    </w:p>
    <w:p>
      <w:pPr>
        <w:spacing w:line="560" w:lineRule="exact"/>
        <w:ind w:firstLine="640" w:firstLineChars="200"/>
        <w:jc w:val="left"/>
        <w:rPr>
          <w:rFonts w:eastAsia="仿宋_GB2312"/>
          <w:sz w:val="32"/>
          <w:szCs w:val="32"/>
        </w:rPr>
      </w:pPr>
      <w:r>
        <w:rPr>
          <w:rFonts w:eastAsia="仿宋_GB2312"/>
          <w:sz w:val="32"/>
          <w:szCs w:val="32"/>
        </w:rPr>
        <w:t>卫生健康行政部门公务员和行政执法人员突出学习宪法，学习行政法和与履行职责相关的专业法律知识，不断提高依法行政、依法执法的能力和水平。医护人员在突出学习宪法的同时，重点学习掌握《执业医师法》《医疗机构管理条例》《医疗事故处理条例》《护士条例》等与执业行为密切相关的卫生健康法律法规，切实做到依法执业、规范行医。其他卫生健康工作者加强与工作相关的法律法规学习，确保依法依规开展工作。</w:t>
      </w:r>
    </w:p>
    <w:p>
      <w:pPr>
        <w:spacing w:line="560" w:lineRule="exact"/>
        <w:ind w:firstLine="640" w:firstLineChars="200"/>
        <w:jc w:val="left"/>
        <w:rPr>
          <w:rFonts w:eastAsia="黑体"/>
          <w:sz w:val="32"/>
          <w:szCs w:val="32"/>
        </w:rPr>
      </w:pPr>
      <w:r>
        <w:rPr>
          <w:rFonts w:eastAsia="黑体"/>
          <w:sz w:val="32"/>
          <w:szCs w:val="32"/>
        </w:rPr>
        <w:t>四、推动普法责任制落实，推进普法依法治理</w:t>
      </w:r>
    </w:p>
    <w:p>
      <w:pPr>
        <w:spacing w:line="560" w:lineRule="exact"/>
        <w:ind w:firstLine="642" w:firstLineChars="200"/>
        <w:jc w:val="left"/>
        <w:rPr>
          <w:rFonts w:eastAsia="楷体_GB2312"/>
          <w:sz w:val="32"/>
          <w:szCs w:val="32"/>
        </w:rPr>
      </w:pPr>
      <w:r>
        <w:rPr>
          <w:rFonts w:eastAsia="楷体_GB2312"/>
          <w:b/>
          <w:sz w:val="32"/>
          <w:szCs w:val="32"/>
        </w:rPr>
        <w:t>（一）落实“谁执法谁普法、谁主管谁负责”普法责任制</w:t>
      </w:r>
    </w:p>
    <w:p>
      <w:pPr>
        <w:spacing w:line="560" w:lineRule="exact"/>
        <w:ind w:firstLine="640" w:firstLineChars="200"/>
        <w:jc w:val="left"/>
        <w:rPr>
          <w:rFonts w:eastAsia="仿宋_GB2312"/>
          <w:sz w:val="32"/>
          <w:szCs w:val="32"/>
        </w:rPr>
      </w:pPr>
      <w:r>
        <w:rPr>
          <w:rFonts w:eastAsia="仿宋_GB2312"/>
          <w:sz w:val="32"/>
          <w:szCs w:val="32"/>
        </w:rPr>
        <w:t>贯彻落实《天津市关于实行国家机关“谁执法谁普法”普法责任制的实施意见》，健全卫生健康普法责任制。进一步强化普法与执法相结合，在全面推行行政执法“三项制度”过程中，继续推动说理式执法。根据新制定或修订卫生健康法律法规的颁布实施，及时开展集中宣传教育。</w:t>
      </w:r>
    </w:p>
    <w:p>
      <w:pPr>
        <w:spacing w:line="560" w:lineRule="exact"/>
        <w:ind w:firstLine="642" w:firstLineChars="200"/>
        <w:jc w:val="left"/>
        <w:rPr>
          <w:rFonts w:eastAsia="楷体_GB2312"/>
          <w:sz w:val="32"/>
          <w:szCs w:val="32"/>
        </w:rPr>
      </w:pPr>
      <w:r>
        <w:rPr>
          <w:rFonts w:eastAsia="楷体_GB2312"/>
          <w:b/>
          <w:sz w:val="32"/>
          <w:szCs w:val="32"/>
        </w:rPr>
        <w:t>（二）开展落实普法责任“三个一”活动</w:t>
      </w:r>
    </w:p>
    <w:p>
      <w:pPr>
        <w:spacing w:line="560" w:lineRule="exact"/>
        <w:ind w:firstLine="640" w:firstLineChars="200"/>
        <w:jc w:val="left"/>
        <w:rPr>
          <w:rFonts w:eastAsia="仿宋_GB2312"/>
          <w:sz w:val="32"/>
          <w:szCs w:val="32"/>
        </w:rPr>
      </w:pPr>
      <w:r>
        <w:rPr>
          <w:rFonts w:eastAsia="仿宋_GB2312"/>
          <w:sz w:val="32"/>
          <w:szCs w:val="32"/>
        </w:rPr>
        <w:t>深入开展落实普法责任“三个一”活动，集中开展一次老年人权益保障法专项法治宣传活动，充分利用电视、广播、报刊、网络等媒体开展宣传，营造尊老、爱老、敬老、助老的社会氛围；开展一次以案释法活动，把典型案件依法处理的过程变成全民普法公开课；组织一次法治宣讲活动，充分发挥O2O视频、微信、微博等新媒体优势，打造“线上线下、互联互动”的全媒体、多元化、融合式卫生健康法治宣传新体系。</w:t>
      </w:r>
    </w:p>
    <w:p>
      <w:pPr>
        <w:spacing w:line="560" w:lineRule="exact"/>
        <w:ind w:firstLine="642" w:firstLineChars="200"/>
        <w:jc w:val="left"/>
        <w:rPr>
          <w:rFonts w:eastAsia="楷体_GB2312"/>
          <w:sz w:val="32"/>
          <w:szCs w:val="32"/>
        </w:rPr>
      </w:pPr>
      <w:r>
        <w:rPr>
          <w:rFonts w:eastAsia="楷体_GB2312"/>
          <w:b/>
          <w:sz w:val="32"/>
          <w:szCs w:val="32"/>
        </w:rPr>
        <w:t>（三）推进卫生健康依法治理</w:t>
      </w:r>
    </w:p>
    <w:p>
      <w:pPr>
        <w:spacing w:line="560" w:lineRule="exact"/>
        <w:ind w:firstLine="640" w:firstLineChars="200"/>
        <w:jc w:val="left"/>
        <w:rPr>
          <w:rFonts w:eastAsia="仿宋_GB2312"/>
          <w:sz w:val="32"/>
          <w:szCs w:val="32"/>
        </w:rPr>
      </w:pPr>
      <w:r>
        <w:rPr>
          <w:rFonts w:eastAsia="仿宋_GB2312"/>
          <w:sz w:val="32"/>
          <w:szCs w:val="32"/>
        </w:rPr>
        <w:t>坚持学法用法一体推进，促进普法依法治理工作在卫生健康领域、在基层精准实施。以“法律六进”为载体，持续推进法治进机关、进医院、进单位、进学校、进企业、进社区，以全民普法促进全民守法，提高各级各类卫生健康单位和社会治理法治化水平。结合文化科技卫生“三下乡”，推动帮扶困难村的民主法治建设。推动开展学校法治创建活动，落实法治副校长制度，建立常态化工作机制。</w:t>
      </w:r>
    </w:p>
    <w:p>
      <w:pPr>
        <w:spacing w:line="560" w:lineRule="exact"/>
        <w:ind w:firstLine="640" w:firstLineChars="200"/>
        <w:jc w:val="left"/>
        <w:rPr>
          <w:rFonts w:eastAsia="黑体"/>
          <w:sz w:val="32"/>
          <w:szCs w:val="32"/>
        </w:rPr>
      </w:pPr>
      <w:r>
        <w:rPr>
          <w:rFonts w:eastAsia="黑体"/>
          <w:sz w:val="32"/>
          <w:szCs w:val="32"/>
        </w:rPr>
        <w:t>五、推进社会主义法治文化建设，创新法治宣传教育形式</w:t>
      </w:r>
    </w:p>
    <w:p>
      <w:pPr>
        <w:spacing w:line="560" w:lineRule="exact"/>
        <w:ind w:firstLine="642" w:firstLineChars="200"/>
        <w:jc w:val="left"/>
        <w:rPr>
          <w:rFonts w:eastAsia="楷体_GB2312"/>
          <w:sz w:val="32"/>
          <w:szCs w:val="32"/>
        </w:rPr>
      </w:pPr>
      <w:r>
        <w:rPr>
          <w:rFonts w:eastAsia="楷体_GB2312"/>
          <w:b/>
          <w:sz w:val="32"/>
          <w:szCs w:val="32"/>
        </w:rPr>
        <w:t>（一）积极开展法治文化作品创作活动</w:t>
      </w:r>
    </w:p>
    <w:p>
      <w:pPr>
        <w:spacing w:line="560" w:lineRule="exact"/>
        <w:ind w:firstLine="640" w:firstLineChars="200"/>
        <w:jc w:val="left"/>
        <w:rPr>
          <w:rFonts w:eastAsia="仿宋_GB2312"/>
          <w:sz w:val="32"/>
          <w:szCs w:val="32"/>
        </w:rPr>
      </w:pPr>
      <w:r>
        <w:rPr>
          <w:rFonts w:eastAsia="仿宋_GB2312"/>
          <w:sz w:val="32"/>
          <w:szCs w:val="32"/>
        </w:rPr>
        <w:t>设计制作系列宣传动画，通过贴近生活、通俗易懂的动画内容达到良好的宣传效果，让人民群众在休闲娱乐中接受文化熏陶，促进全民全社会卫生健康。积极参与第十六届全国法治动漫微电影作品征集及获奖作品展览（播、映）活动，积极参与“我与宪法”优秀微视频征集展播活动，积极参与第十三届全国百家网站、微信公众号法律知识竞赛。</w:t>
      </w:r>
    </w:p>
    <w:p>
      <w:pPr>
        <w:spacing w:line="560" w:lineRule="exact"/>
        <w:ind w:firstLine="642" w:firstLineChars="200"/>
        <w:jc w:val="left"/>
        <w:rPr>
          <w:rFonts w:ascii="楷体" w:hAnsi="楷体" w:eastAsia="楷体"/>
          <w:b/>
          <w:sz w:val="32"/>
          <w:szCs w:val="32"/>
        </w:rPr>
      </w:pPr>
      <w:r>
        <w:rPr>
          <w:rFonts w:ascii="楷体" w:hAnsi="楷体" w:eastAsia="楷体"/>
          <w:b/>
          <w:sz w:val="32"/>
          <w:szCs w:val="32"/>
        </w:rPr>
        <w:t>（二）深入推进“智慧普法”</w:t>
      </w:r>
    </w:p>
    <w:p>
      <w:pPr>
        <w:spacing w:line="560" w:lineRule="exact"/>
        <w:ind w:firstLine="640" w:firstLineChars="200"/>
        <w:jc w:val="left"/>
        <w:rPr>
          <w:rFonts w:eastAsia="仿宋_GB2312"/>
          <w:sz w:val="32"/>
          <w:szCs w:val="32"/>
        </w:rPr>
      </w:pPr>
      <w:r>
        <w:rPr>
          <w:rFonts w:eastAsia="仿宋_GB2312"/>
          <w:sz w:val="32"/>
          <w:szCs w:val="32"/>
        </w:rPr>
        <w:t>把“智慧普法”作为提升普法工作实效、增强群众满意度的有力举措。充分利用</w:t>
      </w:r>
      <w:r>
        <w:rPr>
          <w:rFonts w:hint="eastAsia" w:eastAsia="仿宋_GB2312"/>
          <w:sz w:val="32"/>
          <w:szCs w:val="32"/>
        </w:rPr>
        <w:t>掌上蓟州</w:t>
      </w:r>
      <w:r>
        <w:rPr>
          <w:rFonts w:eastAsia="仿宋_GB2312"/>
          <w:sz w:val="32"/>
          <w:szCs w:val="32"/>
        </w:rPr>
        <w:t>公众号、</w:t>
      </w:r>
      <w:r>
        <w:rPr>
          <w:rFonts w:hint="eastAsia" w:eastAsia="仿宋_GB2312"/>
          <w:sz w:val="32"/>
          <w:szCs w:val="32"/>
        </w:rPr>
        <w:t>蓟州卫生健康</w:t>
      </w:r>
      <w:r>
        <w:rPr>
          <w:rFonts w:eastAsia="仿宋_GB2312"/>
          <w:sz w:val="32"/>
          <w:szCs w:val="32"/>
        </w:rPr>
        <w:t>公众号等新媒体，加大普法产品开发，为群众提供精准高效的卫生健康法治宣传和法律服务。</w:t>
      </w:r>
    </w:p>
    <w:p>
      <w:pPr>
        <w:spacing w:line="560" w:lineRule="exact"/>
        <w:ind w:firstLine="642" w:firstLineChars="200"/>
        <w:jc w:val="left"/>
        <w:rPr>
          <w:rFonts w:eastAsia="楷体_GB2312"/>
          <w:sz w:val="32"/>
          <w:szCs w:val="32"/>
        </w:rPr>
      </w:pPr>
      <w:r>
        <w:rPr>
          <w:rFonts w:eastAsia="楷体_GB2312"/>
          <w:b/>
          <w:sz w:val="32"/>
          <w:szCs w:val="32"/>
        </w:rPr>
        <w:t>（三）加强法治宣传教育调查研究</w:t>
      </w:r>
    </w:p>
    <w:p>
      <w:pPr>
        <w:spacing w:line="560" w:lineRule="exact"/>
        <w:ind w:firstLine="640" w:firstLineChars="200"/>
        <w:jc w:val="left"/>
        <w:rPr>
          <w:rFonts w:eastAsia="仿宋_GB2312"/>
          <w:sz w:val="32"/>
          <w:szCs w:val="32"/>
        </w:rPr>
      </w:pPr>
      <w:r>
        <w:rPr>
          <w:rFonts w:eastAsia="仿宋_GB2312"/>
          <w:sz w:val="32"/>
          <w:szCs w:val="32"/>
        </w:rPr>
        <w:t>把党的政治建设摆在首位，旗帜鲜明讲政治，牢牢把握宣传的正确政治方向。着眼人民群众对卫生健康法治的新期盼，以需求定主题，以问题为导向，深入研究新形势下普法依法治理工作的重点难点和发展规律。大兴学习和调查研究之风，加快补齐普法依法治理工作的短板，防范工作中可能产生的风险。崇尚实干、力求实效，不搞花架子，不做表面文章，防止空喊口号，力戒形式主义、官僚主义。</w:t>
      </w:r>
    </w:p>
    <w:p>
      <w:pPr>
        <w:spacing w:line="560" w:lineRule="exact"/>
        <w:ind w:firstLine="640" w:firstLineChars="200"/>
        <w:jc w:val="left"/>
        <w:rPr>
          <w:rFonts w:eastAsia="仿宋_GB2312"/>
          <w:sz w:val="32"/>
          <w:szCs w:val="32"/>
        </w:rPr>
      </w:pPr>
    </w:p>
    <w:p>
      <w:pPr>
        <w:spacing w:line="560" w:lineRule="exact"/>
        <w:ind w:firstLine="640" w:firstLineChars="200"/>
        <w:jc w:val="left"/>
        <w:rPr>
          <w:rFonts w:eastAsia="仿宋_GB2312"/>
          <w:sz w:val="32"/>
          <w:szCs w:val="32"/>
        </w:rPr>
      </w:pPr>
      <w:r>
        <w:rPr>
          <w:rFonts w:hint="eastAsia" w:eastAsia="仿宋_GB2312"/>
          <w:sz w:val="32"/>
          <w:szCs w:val="32"/>
        </w:rPr>
        <w:t>附件：2019年区卫生健康委重点宣传项目</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ind w:right="-2" w:rightChars="-1" w:firstLine="360" w:firstLineChars="100"/>
        <w:jc w:val="center"/>
        <w:rPr>
          <w:rFonts w:ascii="方正小标宋简体" w:eastAsia="方正小标宋简体"/>
          <w:sz w:val="36"/>
          <w:szCs w:val="36"/>
        </w:rPr>
      </w:pPr>
      <w:r>
        <w:rPr>
          <w:rFonts w:hint="eastAsia" w:ascii="方正小标宋简体" w:eastAsia="方正小标宋简体"/>
          <w:sz w:val="36"/>
          <w:szCs w:val="36"/>
        </w:rPr>
        <w:t>2019年区卫生健康委重点宣传项目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196"/>
        <w:gridCol w:w="280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月份</w:t>
            </w:r>
          </w:p>
        </w:tc>
        <w:tc>
          <w:tcPr>
            <w:tcW w:w="2268" w:type="dxa"/>
            <w:vAlign w:val="center"/>
          </w:tcPr>
          <w:p>
            <w:pPr>
              <w:ind w:right="-2" w:rightChars="-1"/>
              <w:jc w:val="center"/>
              <w:rPr>
                <w:rFonts w:eastAsia="仿宋_GB2312"/>
                <w:sz w:val="28"/>
                <w:szCs w:val="28"/>
              </w:rPr>
            </w:pPr>
            <w:r>
              <w:rPr>
                <w:rFonts w:hint="eastAsia" w:eastAsia="仿宋_GB2312"/>
                <w:sz w:val="28"/>
                <w:szCs w:val="28"/>
              </w:rPr>
              <w:t>重要节点</w:t>
            </w:r>
          </w:p>
        </w:tc>
        <w:tc>
          <w:tcPr>
            <w:tcW w:w="2887" w:type="dxa"/>
            <w:vAlign w:val="center"/>
          </w:tcPr>
          <w:p>
            <w:pPr>
              <w:ind w:right="-2" w:rightChars="-1"/>
              <w:jc w:val="center"/>
              <w:rPr>
                <w:rFonts w:eastAsia="仿宋_GB2312"/>
                <w:sz w:val="28"/>
                <w:szCs w:val="28"/>
              </w:rPr>
            </w:pPr>
            <w:r>
              <w:rPr>
                <w:rFonts w:hint="eastAsia" w:eastAsia="仿宋_GB2312"/>
                <w:sz w:val="28"/>
                <w:szCs w:val="28"/>
              </w:rPr>
              <w:t>主要宣传内容</w:t>
            </w:r>
          </w:p>
        </w:tc>
        <w:tc>
          <w:tcPr>
            <w:tcW w:w="2247" w:type="dxa"/>
            <w:vAlign w:val="center"/>
          </w:tcPr>
          <w:p>
            <w:pPr>
              <w:ind w:right="-2" w:rightChars="-1"/>
              <w:jc w:val="center"/>
              <w:rPr>
                <w:rFonts w:eastAsia="仿宋_GB2312"/>
                <w:sz w:val="28"/>
                <w:szCs w:val="28"/>
              </w:rPr>
            </w:pPr>
            <w:r>
              <w:rPr>
                <w:rFonts w:hint="eastAsia" w:eastAsia="仿宋_GB2312"/>
                <w:sz w:val="28"/>
                <w:szCs w:val="28"/>
              </w:rPr>
              <w:t>主要负责单位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四月</w:t>
            </w:r>
          </w:p>
        </w:tc>
        <w:tc>
          <w:tcPr>
            <w:tcW w:w="2268" w:type="dxa"/>
            <w:vAlign w:val="center"/>
          </w:tcPr>
          <w:p>
            <w:pPr>
              <w:ind w:right="-2" w:rightChars="-1"/>
              <w:jc w:val="center"/>
              <w:rPr>
                <w:rFonts w:eastAsia="仿宋_GB2312"/>
                <w:sz w:val="28"/>
                <w:szCs w:val="28"/>
              </w:rPr>
            </w:pPr>
            <w:r>
              <w:rPr>
                <w:rFonts w:hint="eastAsia" w:eastAsia="仿宋_GB2312"/>
                <w:sz w:val="28"/>
                <w:szCs w:val="28"/>
              </w:rPr>
              <w:t>爱国卫生月</w:t>
            </w:r>
          </w:p>
        </w:tc>
        <w:tc>
          <w:tcPr>
            <w:tcW w:w="2887" w:type="dxa"/>
            <w:vAlign w:val="center"/>
          </w:tcPr>
          <w:p>
            <w:pPr>
              <w:ind w:right="-2" w:rightChars="-1"/>
              <w:jc w:val="center"/>
              <w:rPr>
                <w:rFonts w:eastAsia="仿宋_GB2312"/>
                <w:sz w:val="28"/>
                <w:szCs w:val="28"/>
              </w:rPr>
            </w:pPr>
            <w:r>
              <w:rPr>
                <w:rFonts w:hint="eastAsia" w:eastAsia="仿宋_GB2312"/>
                <w:sz w:val="28"/>
                <w:szCs w:val="28"/>
              </w:rPr>
              <w:t>病媒传播疾病威胁和应对</w:t>
            </w:r>
          </w:p>
        </w:tc>
        <w:tc>
          <w:tcPr>
            <w:tcW w:w="2247" w:type="dxa"/>
            <w:vAlign w:val="center"/>
          </w:tcPr>
          <w:p>
            <w:pPr>
              <w:ind w:right="-2" w:rightChars="-1"/>
              <w:jc w:val="center"/>
              <w:rPr>
                <w:rFonts w:eastAsia="仿宋_GB2312"/>
                <w:sz w:val="28"/>
                <w:szCs w:val="28"/>
              </w:rPr>
            </w:pPr>
            <w:r>
              <w:rPr>
                <w:rFonts w:hint="eastAsia" w:eastAsia="仿宋_GB2312"/>
                <w:sz w:val="28"/>
                <w:szCs w:val="28"/>
              </w:rPr>
              <w:t>爱国卫生科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五月</w:t>
            </w:r>
          </w:p>
        </w:tc>
        <w:tc>
          <w:tcPr>
            <w:tcW w:w="2268" w:type="dxa"/>
            <w:vAlign w:val="center"/>
          </w:tcPr>
          <w:p>
            <w:pPr>
              <w:ind w:right="-2" w:rightChars="-1"/>
              <w:jc w:val="center"/>
              <w:rPr>
                <w:rFonts w:eastAsia="仿宋_GB2312"/>
                <w:sz w:val="28"/>
                <w:szCs w:val="28"/>
              </w:rPr>
            </w:pPr>
            <w:r>
              <w:rPr>
                <w:rFonts w:hint="eastAsia" w:eastAsia="仿宋_GB2312"/>
                <w:sz w:val="28"/>
                <w:szCs w:val="28"/>
              </w:rPr>
              <w:t>世界无烟日</w:t>
            </w:r>
          </w:p>
        </w:tc>
        <w:tc>
          <w:tcPr>
            <w:tcW w:w="2887" w:type="dxa"/>
            <w:vAlign w:val="center"/>
          </w:tcPr>
          <w:p>
            <w:pPr>
              <w:ind w:right="-2" w:rightChars="-1"/>
              <w:jc w:val="center"/>
              <w:rPr>
                <w:rFonts w:eastAsia="仿宋_GB2312"/>
                <w:sz w:val="28"/>
                <w:szCs w:val="28"/>
              </w:rPr>
            </w:pPr>
            <w:r>
              <w:rPr>
                <w:rFonts w:hint="eastAsia" w:eastAsia="仿宋_GB2312"/>
                <w:sz w:val="28"/>
                <w:szCs w:val="28"/>
              </w:rPr>
              <w:t>吸烟的各种危害</w:t>
            </w:r>
          </w:p>
          <w:p>
            <w:pPr>
              <w:ind w:right="-2" w:rightChars="-1"/>
              <w:jc w:val="center"/>
              <w:rPr>
                <w:rFonts w:eastAsia="仿宋_GB2312"/>
                <w:sz w:val="28"/>
                <w:szCs w:val="28"/>
              </w:rPr>
            </w:pPr>
            <w:r>
              <w:rPr>
                <w:rFonts w:hint="eastAsia" w:eastAsia="仿宋_GB2312"/>
                <w:sz w:val="28"/>
                <w:szCs w:val="28"/>
              </w:rPr>
              <w:t>戒烟的好处</w:t>
            </w:r>
          </w:p>
        </w:tc>
        <w:tc>
          <w:tcPr>
            <w:tcW w:w="2247" w:type="dxa"/>
            <w:vAlign w:val="center"/>
          </w:tcPr>
          <w:p>
            <w:pPr>
              <w:ind w:right="-2" w:rightChars="-1"/>
              <w:jc w:val="center"/>
              <w:rPr>
                <w:rFonts w:eastAsia="仿宋_GB2312"/>
                <w:sz w:val="28"/>
                <w:szCs w:val="28"/>
              </w:rPr>
            </w:pPr>
            <w:r>
              <w:rPr>
                <w:rFonts w:hint="eastAsia" w:eastAsia="仿宋_GB2312"/>
                <w:sz w:val="28"/>
                <w:szCs w:val="28"/>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六月</w:t>
            </w:r>
          </w:p>
        </w:tc>
        <w:tc>
          <w:tcPr>
            <w:tcW w:w="2268" w:type="dxa"/>
            <w:vAlign w:val="center"/>
          </w:tcPr>
          <w:p>
            <w:pPr>
              <w:ind w:right="-2" w:rightChars="-1"/>
              <w:jc w:val="center"/>
              <w:rPr>
                <w:rFonts w:eastAsia="仿宋_GB2312"/>
                <w:sz w:val="28"/>
                <w:szCs w:val="28"/>
              </w:rPr>
            </w:pPr>
            <w:r>
              <w:rPr>
                <w:rFonts w:hint="eastAsia" w:eastAsia="仿宋_GB2312"/>
                <w:sz w:val="28"/>
                <w:szCs w:val="28"/>
              </w:rPr>
              <w:t>世界献血者日</w:t>
            </w:r>
          </w:p>
        </w:tc>
        <w:tc>
          <w:tcPr>
            <w:tcW w:w="2887" w:type="dxa"/>
            <w:vAlign w:val="center"/>
          </w:tcPr>
          <w:p>
            <w:pPr>
              <w:ind w:right="-2" w:rightChars="-1"/>
              <w:jc w:val="center"/>
              <w:rPr>
                <w:rFonts w:eastAsia="仿宋_GB2312"/>
                <w:sz w:val="28"/>
                <w:szCs w:val="28"/>
              </w:rPr>
            </w:pPr>
            <w:r>
              <w:rPr>
                <w:rFonts w:hint="eastAsia" w:eastAsia="仿宋_GB2312"/>
                <w:sz w:val="28"/>
                <w:szCs w:val="28"/>
              </w:rPr>
              <w:t>献血法宣传</w:t>
            </w:r>
          </w:p>
        </w:tc>
        <w:tc>
          <w:tcPr>
            <w:tcW w:w="2247" w:type="dxa"/>
            <w:vAlign w:val="center"/>
          </w:tcPr>
          <w:p>
            <w:pPr>
              <w:ind w:right="-2" w:rightChars="-1"/>
              <w:jc w:val="center"/>
              <w:rPr>
                <w:rFonts w:eastAsia="仿宋_GB2312"/>
                <w:sz w:val="28"/>
                <w:szCs w:val="28"/>
              </w:rPr>
            </w:pPr>
            <w:r>
              <w:rPr>
                <w:rFonts w:hint="eastAsia" w:eastAsia="仿宋_GB2312"/>
                <w:sz w:val="28"/>
                <w:szCs w:val="28"/>
              </w:rPr>
              <w:t>献血办公室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七月</w:t>
            </w:r>
          </w:p>
        </w:tc>
        <w:tc>
          <w:tcPr>
            <w:tcW w:w="2268" w:type="dxa"/>
            <w:vAlign w:val="center"/>
          </w:tcPr>
          <w:p>
            <w:pPr>
              <w:ind w:right="-2" w:rightChars="-1"/>
              <w:jc w:val="center"/>
              <w:rPr>
                <w:rFonts w:eastAsia="仿宋_GB2312"/>
                <w:sz w:val="28"/>
                <w:szCs w:val="28"/>
              </w:rPr>
            </w:pPr>
            <w:r>
              <w:rPr>
                <w:rFonts w:eastAsia="仿宋_GB2312"/>
                <w:sz w:val="28"/>
                <w:szCs w:val="28"/>
              </w:rPr>
              <w:t>职业病防治法宣传</w:t>
            </w:r>
          </w:p>
        </w:tc>
        <w:tc>
          <w:tcPr>
            <w:tcW w:w="2887" w:type="dxa"/>
            <w:vAlign w:val="center"/>
          </w:tcPr>
          <w:p>
            <w:pPr>
              <w:ind w:right="-2" w:rightChars="-1"/>
              <w:jc w:val="center"/>
              <w:rPr>
                <w:rFonts w:eastAsia="仿宋_GB2312"/>
                <w:sz w:val="28"/>
                <w:szCs w:val="28"/>
              </w:rPr>
            </w:pPr>
            <w:r>
              <w:rPr>
                <w:rFonts w:hint="eastAsia" w:eastAsia="仿宋_GB2312"/>
                <w:sz w:val="28"/>
                <w:szCs w:val="28"/>
              </w:rPr>
              <w:t>常见职业危害及预防常识</w:t>
            </w:r>
          </w:p>
        </w:tc>
        <w:tc>
          <w:tcPr>
            <w:tcW w:w="2247" w:type="dxa"/>
            <w:vAlign w:val="center"/>
          </w:tcPr>
          <w:p>
            <w:pPr>
              <w:ind w:right="-2" w:rightChars="-1"/>
              <w:jc w:val="center"/>
              <w:rPr>
                <w:rFonts w:eastAsia="仿宋_GB2312"/>
                <w:sz w:val="28"/>
                <w:szCs w:val="28"/>
              </w:rPr>
            </w:pPr>
            <w:r>
              <w:rPr>
                <w:rFonts w:hint="eastAsia" w:eastAsia="仿宋_GB2312"/>
                <w:sz w:val="28"/>
                <w:szCs w:val="28"/>
              </w:rPr>
              <w:t>公共卫生科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八月</w:t>
            </w:r>
          </w:p>
        </w:tc>
        <w:tc>
          <w:tcPr>
            <w:tcW w:w="2268" w:type="dxa"/>
            <w:vAlign w:val="center"/>
          </w:tcPr>
          <w:p>
            <w:pPr>
              <w:ind w:right="-2" w:rightChars="-1"/>
              <w:jc w:val="center"/>
              <w:rPr>
                <w:rFonts w:eastAsia="仿宋_GB2312"/>
                <w:sz w:val="28"/>
                <w:szCs w:val="28"/>
              </w:rPr>
            </w:pPr>
            <w:r>
              <w:rPr>
                <w:rFonts w:hint="eastAsia" w:eastAsia="仿宋_GB2312"/>
                <w:sz w:val="28"/>
                <w:szCs w:val="28"/>
              </w:rPr>
              <w:t>传染病防治法宣传</w:t>
            </w:r>
          </w:p>
        </w:tc>
        <w:tc>
          <w:tcPr>
            <w:tcW w:w="2887" w:type="dxa"/>
            <w:vAlign w:val="center"/>
          </w:tcPr>
          <w:p>
            <w:pPr>
              <w:ind w:right="-2" w:rightChars="-1"/>
              <w:jc w:val="center"/>
              <w:rPr>
                <w:rFonts w:eastAsia="仿宋_GB2312"/>
                <w:sz w:val="28"/>
                <w:szCs w:val="28"/>
              </w:rPr>
            </w:pPr>
            <w:r>
              <w:rPr>
                <w:rFonts w:hint="eastAsia" w:eastAsia="仿宋_GB2312"/>
                <w:sz w:val="28"/>
                <w:szCs w:val="28"/>
              </w:rPr>
              <w:t>常见传染病、季节性传染病的预防</w:t>
            </w:r>
          </w:p>
        </w:tc>
        <w:tc>
          <w:tcPr>
            <w:tcW w:w="2247" w:type="dxa"/>
            <w:vAlign w:val="center"/>
          </w:tcPr>
          <w:p>
            <w:pPr>
              <w:ind w:right="-2" w:rightChars="-1"/>
              <w:jc w:val="center"/>
              <w:rPr>
                <w:rFonts w:eastAsia="仿宋_GB2312"/>
                <w:sz w:val="28"/>
                <w:szCs w:val="28"/>
              </w:rPr>
            </w:pPr>
            <w:r>
              <w:rPr>
                <w:rFonts w:hint="eastAsia" w:eastAsia="仿宋_GB2312"/>
                <w:sz w:val="28"/>
                <w:szCs w:val="28"/>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九月</w:t>
            </w:r>
          </w:p>
        </w:tc>
        <w:tc>
          <w:tcPr>
            <w:tcW w:w="2268" w:type="dxa"/>
            <w:vAlign w:val="center"/>
          </w:tcPr>
          <w:p>
            <w:pPr>
              <w:ind w:right="-2" w:rightChars="-1"/>
              <w:jc w:val="center"/>
              <w:rPr>
                <w:rFonts w:eastAsia="仿宋_GB2312"/>
                <w:sz w:val="28"/>
                <w:szCs w:val="28"/>
              </w:rPr>
            </w:pPr>
            <w:r>
              <w:rPr>
                <w:rFonts w:hint="eastAsia" w:eastAsia="仿宋_GB2312"/>
                <w:sz w:val="28"/>
                <w:szCs w:val="28"/>
              </w:rPr>
              <w:t>专业法律知识宣传</w:t>
            </w:r>
          </w:p>
        </w:tc>
        <w:tc>
          <w:tcPr>
            <w:tcW w:w="2887" w:type="dxa"/>
            <w:vAlign w:val="center"/>
          </w:tcPr>
          <w:p>
            <w:pPr>
              <w:ind w:right="-2" w:rightChars="-1"/>
              <w:jc w:val="center"/>
              <w:rPr>
                <w:rFonts w:eastAsia="仿宋_GB2312"/>
                <w:sz w:val="28"/>
                <w:szCs w:val="28"/>
              </w:rPr>
            </w:pPr>
            <w:r>
              <w:rPr>
                <w:rFonts w:eastAsia="仿宋_GB2312"/>
                <w:sz w:val="28"/>
                <w:szCs w:val="28"/>
              </w:rPr>
              <w:t>《执业医师法》《护士条例》</w:t>
            </w:r>
            <w:r>
              <w:rPr>
                <w:rFonts w:hint="eastAsia" w:eastAsia="仿宋_GB2312"/>
                <w:sz w:val="28"/>
                <w:szCs w:val="28"/>
              </w:rPr>
              <w:t>等</w:t>
            </w:r>
          </w:p>
        </w:tc>
        <w:tc>
          <w:tcPr>
            <w:tcW w:w="2247" w:type="dxa"/>
            <w:vAlign w:val="center"/>
          </w:tcPr>
          <w:p>
            <w:pPr>
              <w:ind w:right="-2" w:rightChars="-1"/>
              <w:jc w:val="center"/>
              <w:rPr>
                <w:rFonts w:eastAsia="仿宋_GB2312"/>
                <w:sz w:val="28"/>
                <w:szCs w:val="28"/>
              </w:rPr>
            </w:pPr>
            <w:r>
              <w:rPr>
                <w:rFonts w:hint="eastAsia" w:eastAsia="仿宋_GB2312"/>
                <w:sz w:val="28"/>
                <w:szCs w:val="28"/>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十月</w:t>
            </w:r>
          </w:p>
        </w:tc>
        <w:tc>
          <w:tcPr>
            <w:tcW w:w="2268" w:type="dxa"/>
            <w:vAlign w:val="center"/>
          </w:tcPr>
          <w:p>
            <w:pPr>
              <w:ind w:right="-2" w:rightChars="-1"/>
              <w:jc w:val="center"/>
              <w:rPr>
                <w:rFonts w:eastAsia="仿宋_GB2312"/>
                <w:sz w:val="28"/>
                <w:szCs w:val="28"/>
              </w:rPr>
            </w:pPr>
            <w:r>
              <w:rPr>
                <w:rFonts w:hint="eastAsia" w:eastAsia="仿宋_GB2312"/>
                <w:sz w:val="28"/>
                <w:szCs w:val="28"/>
              </w:rPr>
              <w:t>全国敬老月</w:t>
            </w:r>
          </w:p>
        </w:tc>
        <w:tc>
          <w:tcPr>
            <w:tcW w:w="2887" w:type="dxa"/>
            <w:vAlign w:val="center"/>
          </w:tcPr>
          <w:p>
            <w:pPr>
              <w:ind w:right="-2" w:rightChars="-1"/>
              <w:jc w:val="center"/>
              <w:rPr>
                <w:rFonts w:eastAsia="仿宋_GB2312"/>
                <w:sz w:val="28"/>
                <w:szCs w:val="28"/>
              </w:rPr>
            </w:pPr>
            <w:r>
              <w:rPr>
                <w:rFonts w:hint="eastAsia" w:eastAsia="仿宋_GB2312"/>
                <w:sz w:val="28"/>
                <w:szCs w:val="28"/>
              </w:rPr>
              <w:t>中华人民共和国老年人权益保障法等</w:t>
            </w:r>
          </w:p>
        </w:tc>
        <w:tc>
          <w:tcPr>
            <w:tcW w:w="2247" w:type="dxa"/>
            <w:vAlign w:val="center"/>
          </w:tcPr>
          <w:p>
            <w:pPr>
              <w:ind w:right="-2" w:rightChars="-1"/>
              <w:jc w:val="center"/>
              <w:rPr>
                <w:rFonts w:eastAsia="仿宋_GB2312"/>
                <w:sz w:val="28"/>
                <w:szCs w:val="28"/>
              </w:rPr>
            </w:pPr>
            <w:r>
              <w:rPr>
                <w:rFonts w:hint="eastAsia" w:eastAsia="仿宋_GB2312"/>
                <w:sz w:val="28"/>
                <w:szCs w:val="28"/>
              </w:rPr>
              <w:t>爱国卫生科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384" w:type="dxa"/>
            <w:vAlign w:val="center"/>
          </w:tcPr>
          <w:p>
            <w:pPr>
              <w:ind w:right="-2" w:rightChars="-1"/>
              <w:jc w:val="center"/>
              <w:rPr>
                <w:rFonts w:eastAsia="仿宋_GB2312"/>
                <w:sz w:val="28"/>
                <w:szCs w:val="28"/>
              </w:rPr>
            </w:pPr>
            <w:r>
              <w:rPr>
                <w:rFonts w:hint="eastAsia" w:eastAsia="仿宋_GB2312"/>
                <w:sz w:val="28"/>
                <w:szCs w:val="28"/>
              </w:rPr>
              <w:t>十一月</w:t>
            </w:r>
          </w:p>
        </w:tc>
        <w:tc>
          <w:tcPr>
            <w:tcW w:w="2268" w:type="dxa"/>
            <w:vAlign w:val="center"/>
          </w:tcPr>
          <w:p>
            <w:pPr>
              <w:ind w:right="-2" w:rightChars="-1"/>
              <w:jc w:val="center"/>
              <w:rPr>
                <w:rFonts w:eastAsia="仿宋_GB2312"/>
                <w:sz w:val="28"/>
                <w:szCs w:val="28"/>
              </w:rPr>
            </w:pPr>
            <w:r>
              <w:rPr>
                <w:rFonts w:eastAsia="仿宋_GB2312"/>
                <w:sz w:val="28"/>
                <w:szCs w:val="28"/>
              </w:rPr>
              <w:t>妇女儿童权益保障</w:t>
            </w:r>
          </w:p>
        </w:tc>
        <w:tc>
          <w:tcPr>
            <w:tcW w:w="2887" w:type="dxa"/>
            <w:vAlign w:val="center"/>
          </w:tcPr>
          <w:p>
            <w:pPr>
              <w:keepNext w:val="0"/>
              <w:keepLines w:val="0"/>
              <w:widowControl/>
              <w:suppressLineNumbers w:val="0"/>
              <w:jc w:val="center"/>
              <w:rPr>
                <w:rFonts w:hint="default" w:eastAsia="仿宋_GB2312"/>
                <w:sz w:val="28"/>
                <w:szCs w:val="28"/>
                <w:lang w:val="en"/>
              </w:rPr>
            </w:pPr>
            <w:r>
              <w:rPr>
                <w:rFonts w:hint="eastAsia" w:eastAsia="仿宋_GB2312"/>
                <w:sz w:val="28"/>
                <w:szCs w:val="28"/>
                <w:lang w:val="en-US" w:eastAsia="zh-CN"/>
              </w:rPr>
              <w:t>中华人民共和国妇女权益保障法</w:t>
            </w:r>
            <w:bookmarkStart w:id="0" w:name="_GoBack"/>
            <w:bookmarkEnd w:id="0"/>
          </w:p>
        </w:tc>
        <w:tc>
          <w:tcPr>
            <w:tcW w:w="2247" w:type="dxa"/>
            <w:vAlign w:val="center"/>
          </w:tcPr>
          <w:p>
            <w:pPr>
              <w:ind w:right="-2" w:rightChars="-1"/>
              <w:jc w:val="center"/>
              <w:rPr>
                <w:rFonts w:eastAsia="仿宋_GB2312"/>
                <w:sz w:val="28"/>
                <w:szCs w:val="28"/>
              </w:rPr>
            </w:pPr>
            <w:r>
              <w:rPr>
                <w:rFonts w:hint="eastAsia" w:eastAsia="仿宋_GB2312"/>
                <w:sz w:val="28"/>
                <w:szCs w:val="28"/>
              </w:rPr>
              <w:t>妇幼健康科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2435"/>
    <w:rsid w:val="000219F7"/>
    <w:rsid w:val="002E7EF2"/>
    <w:rsid w:val="00311C79"/>
    <w:rsid w:val="0051391D"/>
    <w:rsid w:val="007B595E"/>
    <w:rsid w:val="007C3942"/>
    <w:rsid w:val="00872435"/>
    <w:rsid w:val="008C67FC"/>
    <w:rsid w:val="00A8037D"/>
    <w:rsid w:val="00B80D7A"/>
    <w:rsid w:val="00C233C8"/>
    <w:rsid w:val="00C458C9"/>
    <w:rsid w:val="00D26931"/>
    <w:rsid w:val="00D4139E"/>
    <w:rsid w:val="00E60783"/>
    <w:rsid w:val="00EF56E6"/>
    <w:rsid w:val="F7EA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spacing w:line="390" w:lineRule="atLeast"/>
      <w:jc w:val="left"/>
    </w:pPr>
    <w:rPr>
      <w:rFonts w:ascii="宋体" w:hAnsi="宋体"/>
      <w:kern w:val="0"/>
      <w:szCs w:val="21"/>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558</Words>
  <Characters>3184</Characters>
  <Lines>26</Lines>
  <Paragraphs>7</Paragraphs>
  <TotalTime>19</TotalTime>
  <ScaleCrop>false</ScaleCrop>
  <LinksUpToDate>false</LinksUpToDate>
  <CharactersWithSpaces>3735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2020-12-10T21:21:00Z</dcterms:created>
  <dc:creator>zhao</dc:creator>
  <cp:lastModifiedBy>kylin</cp:lastModifiedBy>
  <dcterms:modified xsi:type="dcterms:W3CDTF">2022-11-14T11:10:48Z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