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411" w:rsidRDefault="00D14411" w:rsidP="00D14411">
      <w:pPr>
        <w:jc w:val="center"/>
        <w:rPr>
          <w:b/>
          <w:sz w:val="44"/>
          <w:szCs w:val="44"/>
        </w:rPr>
      </w:pPr>
      <w:r w:rsidRPr="0006691A">
        <w:rPr>
          <w:rFonts w:hint="eastAsia"/>
          <w:b/>
          <w:sz w:val="44"/>
          <w:szCs w:val="44"/>
        </w:rPr>
        <w:t>区安委会办公室关于推动落实</w:t>
      </w:r>
    </w:p>
    <w:p w:rsidR="00D14411" w:rsidRDefault="00D14411" w:rsidP="00D14411">
      <w:pPr>
        <w:jc w:val="center"/>
        <w:rPr>
          <w:b/>
          <w:sz w:val="44"/>
          <w:szCs w:val="44"/>
        </w:rPr>
      </w:pPr>
      <w:r w:rsidRPr="0006691A">
        <w:rPr>
          <w:rFonts w:hint="eastAsia"/>
          <w:b/>
          <w:sz w:val="44"/>
          <w:szCs w:val="44"/>
        </w:rPr>
        <w:t>企业安全风险管控工作实施方案</w:t>
      </w:r>
    </w:p>
    <w:p w:rsidR="00D14411" w:rsidRDefault="00D14411" w:rsidP="00D14411">
      <w:pPr>
        <w:rPr>
          <w:b/>
          <w:sz w:val="44"/>
          <w:szCs w:val="44"/>
        </w:rPr>
      </w:pPr>
    </w:p>
    <w:p w:rsidR="00D14411" w:rsidRDefault="00D14411" w:rsidP="00E92D30">
      <w:pPr>
        <w:spacing w:line="560" w:lineRule="exact"/>
        <w:rPr>
          <w:rFonts w:ascii="仿宋_GB2312" w:eastAsia="仿宋_GB2312"/>
          <w:sz w:val="32"/>
          <w:szCs w:val="32"/>
        </w:rPr>
      </w:pPr>
      <w:r w:rsidRPr="0006691A">
        <w:rPr>
          <w:rFonts w:ascii="仿宋_GB2312" w:eastAsia="仿宋_GB2312" w:hint="eastAsia"/>
          <w:sz w:val="32"/>
          <w:szCs w:val="32"/>
        </w:rPr>
        <w:t>各镇乡街、园区，新城管委会，各安委会成员单位，各生产经营单位：</w:t>
      </w:r>
    </w:p>
    <w:p w:rsidR="00D14411" w:rsidRDefault="00D14411" w:rsidP="00E92D30">
      <w:pPr>
        <w:spacing w:line="560" w:lineRule="exact"/>
        <w:ind w:firstLine="636"/>
        <w:rPr>
          <w:rFonts w:ascii="仿宋_GB2312" w:eastAsia="仿宋_GB2312"/>
          <w:sz w:val="32"/>
          <w:szCs w:val="32"/>
        </w:rPr>
      </w:pPr>
      <w:r>
        <w:rPr>
          <w:rFonts w:ascii="仿宋_GB2312" w:eastAsia="仿宋_GB2312" w:hint="eastAsia"/>
          <w:sz w:val="32"/>
          <w:szCs w:val="32"/>
        </w:rPr>
        <w:t>为进一步推动生产经营单位落实风险管控主体责任，构建安全风险管控和隐患排查治理双重预防机制，有效防范遏制重特大事故，根据《市安委会办公室关于进一步推动落实企业安全风险管控工作的通知》精神，决定从现在起到2019年底，在全区生产经营单位开展安全风险评估工作，并制定本实施方案。</w:t>
      </w:r>
    </w:p>
    <w:p w:rsidR="00D14411" w:rsidRPr="002475E5" w:rsidRDefault="00D14411" w:rsidP="00E92D30">
      <w:pPr>
        <w:spacing w:line="560" w:lineRule="exact"/>
        <w:ind w:left="636"/>
        <w:rPr>
          <w:rFonts w:ascii="黑体" w:eastAsia="黑体" w:hAnsi="黑体"/>
          <w:sz w:val="32"/>
          <w:szCs w:val="32"/>
        </w:rPr>
      </w:pPr>
      <w:r w:rsidRPr="002475E5">
        <w:rPr>
          <w:rFonts w:ascii="黑体" w:eastAsia="黑体" w:hAnsi="黑体" w:hint="eastAsia"/>
          <w:sz w:val="32"/>
          <w:szCs w:val="32"/>
        </w:rPr>
        <w:t>一、指导思想</w:t>
      </w:r>
    </w:p>
    <w:p w:rsidR="00D14411" w:rsidRDefault="00D14411" w:rsidP="00E92D30">
      <w:pPr>
        <w:spacing w:line="560" w:lineRule="exact"/>
        <w:ind w:firstLineChars="200" w:firstLine="640"/>
        <w:rPr>
          <w:rFonts w:ascii="仿宋_GB2312" w:eastAsia="仿宋_GB2312"/>
          <w:sz w:val="32"/>
          <w:szCs w:val="32"/>
        </w:rPr>
      </w:pPr>
      <w:r>
        <w:rPr>
          <w:rFonts w:ascii="仿宋_GB2312" w:eastAsia="仿宋_GB2312" w:hint="eastAsia"/>
          <w:sz w:val="32"/>
          <w:szCs w:val="32"/>
        </w:rPr>
        <w:t>开展安全风险评估是加强城市安全风险管控的重要举措，是构建安全风险管控和隐患排查治理双重预防机制的基础保障。安全风险评估是通过识别生产经营单位存在的危险有害因素，确定可能发生事故的类别，分析事故发生的可能性，以及可能产生的直接后果和次生、衍生后果，评估各种后果的危害程度和影响范围，提出防范和控制事故风险措施。通过在生产经营单位推行安全风险评估，能够</w:t>
      </w:r>
      <w:r w:rsidRPr="002B3596">
        <w:rPr>
          <w:rFonts w:ascii="仿宋_GB2312" w:eastAsia="仿宋_GB2312" w:hint="eastAsia"/>
          <w:sz w:val="32"/>
          <w:szCs w:val="32"/>
        </w:rPr>
        <w:t>准确把握安全生产工作的特点和规律，做到风险预控、关口前移，落实安全风险分级管控，进一步强化隐患排查治理，推进事故预防工作科学化、信息化、标准化，实现把风险控制在隐患形成之前、把隐患消灭在事故前面,实现生产经营单位安全风险自辨自控、隐患自查自治，形成政府领导有力、部</w:t>
      </w:r>
      <w:r w:rsidRPr="002B3596">
        <w:rPr>
          <w:rFonts w:ascii="仿宋_GB2312" w:eastAsia="仿宋_GB2312" w:hint="eastAsia"/>
          <w:sz w:val="32"/>
          <w:szCs w:val="32"/>
        </w:rPr>
        <w:lastRenderedPageBreak/>
        <w:t>门监管有效、企业责任落实、社会参与有序的工作格局，提升我区安全生产整体预控能力，夯实遏制重特大事故的坚强基础。</w:t>
      </w:r>
    </w:p>
    <w:p w:rsidR="00D14411" w:rsidRPr="002475E5" w:rsidRDefault="00D14411" w:rsidP="00E92D30">
      <w:pPr>
        <w:spacing w:line="560" w:lineRule="exact"/>
        <w:ind w:left="636"/>
        <w:rPr>
          <w:rFonts w:ascii="黑体" w:eastAsia="黑体" w:hAnsi="黑体"/>
          <w:sz w:val="32"/>
          <w:szCs w:val="32"/>
        </w:rPr>
      </w:pPr>
      <w:r w:rsidRPr="002475E5">
        <w:rPr>
          <w:rFonts w:ascii="黑体" w:eastAsia="黑体" w:hAnsi="黑体" w:hint="eastAsia"/>
          <w:sz w:val="32"/>
          <w:szCs w:val="32"/>
        </w:rPr>
        <w:t>二、范围标准</w:t>
      </w:r>
    </w:p>
    <w:p w:rsidR="00D14411" w:rsidRDefault="00D14411" w:rsidP="00E92D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根据市安委会办公室的要求，2018年年底之前，所有的危险化学品（生产、使用、储存）企业以及涉及重大危险源企业；冶金、建材、机械、轻工、纺织等行业</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规模以上企业；交通运输、建筑施工、公共场所、城镇燃气、特种设备等重点行业</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的企业，完成风险评估工作，建立安全风险分级管控机制。</w:t>
      </w:r>
    </w:p>
    <w:p w:rsidR="00D14411" w:rsidRPr="002475E5" w:rsidRDefault="00D14411" w:rsidP="00E92D30">
      <w:pPr>
        <w:spacing w:line="560" w:lineRule="exact"/>
        <w:ind w:left="636"/>
        <w:rPr>
          <w:rFonts w:ascii="黑体" w:eastAsia="黑体" w:hAnsi="黑体"/>
          <w:sz w:val="32"/>
          <w:szCs w:val="32"/>
        </w:rPr>
      </w:pPr>
      <w:r w:rsidRPr="002475E5">
        <w:rPr>
          <w:rFonts w:ascii="黑体" w:eastAsia="黑体" w:hAnsi="黑体" w:hint="eastAsia"/>
          <w:sz w:val="32"/>
          <w:szCs w:val="32"/>
        </w:rPr>
        <w:t>三、</w:t>
      </w:r>
      <w:r>
        <w:rPr>
          <w:rFonts w:ascii="黑体" w:eastAsia="黑体" w:hAnsi="黑体" w:hint="eastAsia"/>
          <w:sz w:val="32"/>
          <w:szCs w:val="32"/>
        </w:rPr>
        <w:t>责任分工</w:t>
      </w:r>
    </w:p>
    <w:p w:rsidR="00D14411" w:rsidRPr="006D6BD8" w:rsidRDefault="00D14411" w:rsidP="00E92D30">
      <w:pPr>
        <w:tabs>
          <w:tab w:val="left" w:pos="8460"/>
          <w:tab w:val="left" w:pos="8640"/>
        </w:tabs>
        <w:adjustRightInd w:val="0"/>
        <w:snapToGrid w:val="0"/>
        <w:spacing w:line="560" w:lineRule="exact"/>
        <w:ind w:firstLineChars="200" w:firstLine="640"/>
        <w:rPr>
          <w:rFonts w:ascii="仿宋_GB2312" w:eastAsia="仿宋_GB2312"/>
          <w:sz w:val="32"/>
          <w:szCs w:val="32"/>
        </w:rPr>
      </w:pPr>
      <w:r w:rsidRPr="006D6BD8">
        <w:rPr>
          <w:rFonts w:ascii="仿宋_GB2312" w:eastAsia="仿宋_GB2312" w:hint="eastAsia"/>
          <w:sz w:val="32"/>
          <w:szCs w:val="32"/>
        </w:rPr>
        <w:t>根据《</w:t>
      </w:r>
      <w:r>
        <w:rPr>
          <w:rFonts w:ascii="仿宋_GB2312" w:eastAsia="仿宋_GB2312" w:hint="eastAsia"/>
          <w:sz w:val="32"/>
          <w:szCs w:val="32"/>
        </w:rPr>
        <w:t>天津市</w:t>
      </w:r>
      <w:r w:rsidRPr="006D6BD8">
        <w:rPr>
          <w:rStyle w:val="aa"/>
          <w:rFonts w:ascii="仿宋_GB2312" w:eastAsia="仿宋_GB2312" w:hint="eastAsia"/>
          <w:b w:val="0"/>
          <w:color w:val="000000"/>
          <w:sz w:val="32"/>
          <w:szCs w:val="32"/>
        </w:rPr>
        <w:t>蓟州区人民政府关于进一步明确和规范安全生产工作职责的意见》（</w:t>
      </w:r>
      <w:r w:rsidRPr="006D6BD8">
        <w:rPr>
          <w:rFonts w:ascii="仿宋_GB2312" w:eastAsia="仿宋_GB2312" w:hint="eastAsia"/>
          <w:sz w:val="32"/>
          <w:szCs w:val="32"/>
        </w:rPr>
        <w:t>蓟州政发〔2017〕9号）</w:t>
      </w:r>
      <w:r w:rsidRPr="006D6BD8">
        <w:rPr>
          <w:rStyle w:val="aa"/>
          <w:rFonts w:ascii="仿宋_GB2312" w:eastAsia="仿宋_GB2312" w:hint="eastAsia"/>
          <w:b w:val="0"/>
          <w:color w:val="000000"/>
          <w:sz w:val="32"/>
          <w:szCs w:val="32"/>
        </w:rPr>
        <w:t>和</w:t>
      </w:r>
      <w:r w:rsidRPr="006D6BD8">
        <w:rPr>
          <w:rFonts w:ascii="仿宋_GB2312" w:eastAsia="仿宋_GB2312" w:hint="eastAsia"/>
          <w:sz w:val="32"/>
          <w:szCs w:val="32"/>
        </w:rPr>
        <w:t>“三个必须”的要求，</w:t>
      </w:r>
      <w:r>
        <w:rPr>
          <w:rFonts w:ascii="仿宋_GB2312" w:eastAsia="仿宋_GB2312" w:hint="eastAsia"/>
          <w:sz w:val="32"/>
          <w:szCs w:val="32"/>
        </w:rPr>
        <w:t>各相关单位部门职责分工为：</w:t>
      </w:r>
    </w:p>
    <w:p w:rsidR="00D14411" w:rsidRDefault="00D14411" w:rsidP="00E92D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1.由区安监局牵头负责，组织</w:t>
      </w:r>
      <w:r>
        <w:rPr>
          <w:rFonts w:ascii="仿宋_GB2312" w:eastAsia="仿宋_GB2312" w:hAnsi="仿宋_GB2312" w:cs="仿宋_GB2312" w:hint="eastAsia"/>
          <w:sz w:val="32"/>
          <w:szCs w:val="32"/>
        </w:rPr>
        <w:t>全区危险化学品（生产、使用、储存）企业以及涉及重大危险源企业；指导督促冶金、建材、机械、轻工、纺织等行业规模以上企业开展安全风险评估工作，建立安全风险分级管控机制；</w:t>
      </w:r>
    </w:p>
    <w:p w:rsidR="00D14411" w:rsidRDefault="00D14411" w:rsidP="00E92D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2.由区交通局牵头负责，组织全区10%的运输企业开展安全风险评估工作，建立安全风险分级管控机制；</w:t>
      </w:r>
    </w:p>
    <w:p w:rsidR="00D14411" w:rsidRDefault="00D14411" w:rsidP="00E92D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3.由区建委牵头负责，组织全区建筑施工企业、城镇燃气企业开展安全风险评估工作，建立安全风险分级管控机制；</w:t>
      </w:r>
    </w:p>
    <w:p w:rsidR="00D14411" w:rsidRDefault="00D14411" w:rsidP="00E92D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4.由各镇乡街、园区、新城管委会和行业主管部门牵头负责，组织辖区内规模以上企业和所属重点公共场所单位开展安全风</w:t>
      </w:r>
      <w:r>
        <w:rPr>
          <w:rFonts w:ascii="仿宋_GB2312" w:eastAsia="仿宋_GB2312" w:hAnsi="仿宋_GB2312" w:cs="仿宋_GB2312" w:hint="eastAsia"/>
          <w:sz w:val="32"/>
          <w:szCs w:val="32"/>
        </w:rPr>
        <w:lastRenderedPageBreak/>
        <w:t>险评估工作，建立安全风险分级管控机制；</w:t>
      </w:r>
    </w:p>
    <w:p w:rsidR="00D14411" w:rsidRDefault="00D14411" w:rsidP="00E92D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5.由市场监督局牵头负责，组织特种设备单位开展风险评估工作，建立安全风险分级管控机制。</w:t>
      </w:r>
    </w:p>
    <w:p w:rsidR="00D14411" w:rsidRDefault="00D14411" w:rsidP="00E92D30">
      <w:pPr>
        <w:spacing w:line="560" w:lineRule="exact"/>
        <w:ind w:left="636"/>
        <w:rPr>
          <w:rFonts w:ascii="黑体" w:eastAsia="黑体" w:hAnsi="黑体"/>
          <w:sz w:val="32"/>
          <w:szCs w:val="32"/>
        </w:rPr>
      </w:pPr>
      <w:r w:rsidRPr="002475E5">
        <w:rPr>
          <w:rFonts w:ascii="黑体" w:eastAsia="黑体" w:hAnsi="黑体" w:hint="eastAsia"/>
          <w:sz w:val="32"/>
          <w:szCs w:val="32"/>
        </w:rPr>
        <w:t>四、</w:t>
      </w:r>
      <w:r>
        <w:rPr>
          <w:rFonts w:ascii="黑体" w:eastAsia="黑体" w:hAnsi="黑体" w:hint="eastAsia"/>
          <w:sz w:val="32"/>
          <w:szCs w:val="32"/>
        </w:rPr>
        <w:t>方法步骤</w:t>
      </w:r>
    </w:p>
    <w:p w:rsidR="00D14411" w:rsidRDefault="00D14411" w:rsidP="00E92D30">
      <w:pPr>
        <w:spacing w:line="560" w:lineRule="exact"/>
        <w:ind w:firstLineChars="196" w:firstLine="630"/>
        <w:rPr>
          <w:rFonts w:ascii="仿宋_GB2312" w:eastAsia="仿宋_GB2312" w:hAnsi="黑体"/>
          <w:sz w:val="32"/>
          <w:szCs w:val="32"/>
        </w:rPr>
      </w:pPr>
      <w:r w:rsidRPr="00E71F49">
        <w:rPr>
          <w:rFonts w:ascii="仿宋_GB2312" w:eastAsia="仿宋_GB2312" w:hAnsi="黑体" w:hint="eastAsia"/>
          <w:b/>
          <w:sz w:val="32"/>
          <w:szCs w:val="32"/>
        </w:rPr>
        <w:t>1.动员部署</w:t>
      </w:r>
      <w:r>
        <w:rPr>
          <w:rFonts w:ascii="仿宋_GB2312" w:eastAsia="仿宋_GB2312" w:hAnsi="黑体" w:hint="eastAsia"/>
          <w:b/>
          <w:sz w:val="32"/>
          <w:szCs w:val="32"/>
        </w:rPr>
        <w:t>阶段</w:t>
      </w:r>
      <w:r>
        <w:rPr>
          <w:rFonts w:ascii="仿宋_GB2312" w:eastAsia="仿宋_GB2312" w:hAnsi="黑体" w:hint="eastAsia"/>
          <w:sz w:val="32"/>
          <w:szCs w:val="32"/>
        </w:rPr>
        <w:t>。2018年10月15日前，各牵头负责的相关部门单位，根据本单位本行业领域的生产经营单位实际情况和区安委办的工作目标，制定工作计划，明确工作重点，召开动员部署会议，并通过各种形式加强相关政策法规的宣教力度，对开展安全风险评估工作进行正面引导，提高思想认识，增强生产经营单位支持、参与安全风险评估工作的积极性、主动性。</w:t>
      </w:r>
    </w:p>
    <w:p w:rsidR="00D14411" w:rsidRPr="00541AB8" w:rsidRDefault="00D14411" w:rsidP="00E92D30">
      <w:pPr>
        <w:widowControl/>
        <w:shd w:val="clear" w:color="auto" w:fill="FFFFFF"/>
        <w:spacing w:line="560" w:lineRule="exact"/>
        <w:ind w:firstLineChars="199" w:firstLine="639"/>
        <w:jc w:val="left"/>
        <w:rPr>
          <w:rFonts w:ascii="仿宋_GB2312" w:eastAsia="仿宋_GB2312" w:hAnsi="宋体" w:cs="宋体"/>
          <w:color w:val="333333"/>
          <w:kern w:val="0"/>
          <w:sz w:val="32"/>
          <w:szCs w:val="32"/>
        </w:rPr>
      </w:pPr>
      <w:r w:rsidRPr="00E71F49">
        <w:rPr>
          <w:rFonts w:ascii="仿宋_GB2312" w:eastAsia="仿宋_GB2312" w:hAnsi="黑体" w:hint="eastAsia"/>
          <w:b/>
          <w:sz w:val="32"/>
          <w:szCs w:val="32"/>
        </w:rPr>
        <w:t>2.排查摸底</w:t>
      </w:r>
      <w:r>
        <w:rPr>
          <w:rFonts w:ascii="仿宋_GB2312" w:eastAsia="仿宋_GB2312" w:hAnsi="黑体" w:hint="eastAsia"/>
          <w:b/>
          <w:sz w:val="32"/>
          <w:szCs w:val="32"/>
        </w:rPr>
        <w:t>阶段</w:t>
      </w:r>
      <w:r>
        <w:rPr>
          <w:rFonts w:ascii="仿宋_GB2312" w:eastAsia="仿宋_GB2312" w:hAnsi="黑体" w:hint="eastAsia"/>
          <w:sz w:val="32"/>
          <w:szCs w:val="32"/>
        </w:rPr>
        <w:t>。2018年10月30日前，各牵头负责的相关部门单位，对本区域本行业领域的生产经营单位进行全面摸排，并根据企业的性质和危害程度，确定需要开展安全风险评估的生产经营单位名录和“时间表”，原则上城市安全风险评估确定的重点生产经营单位和公共场所都应纳入安全风险评估名录。</w:t>
      </w:r>
      <w:r>
        <w:rPr>
          <w:rFonts w:ascii="仿宋_GB2312" w:eastAsia="仿宋_GB2312" w:hAnsi="宋体" w:cs="宋体" w:hint="eastAsia"/>
          <w:color w:val="000000"/>
          <w:kern w:val="0"/>
          <w:sz w:val="32"/>
          <w:szCs w:val="32"/>
        </w:rPr>
        <w:t>各单位将《安全风险评估生产经营单位名录》（附件二）于2018年11月5日前报</w:t>
      </w:r>
      <w:r w:rsidRPr="006F1F02">
        <w:rPr>
          <w:rFonts w:ascii="仿宋_GB2312" w:eastAsia="仿宋_GB2312" w:hAnsi="宋体" w:cs="宋体" w:hint="eastAsia"/>
          <w:color w:val="000000"/>
          <w:kern w:val="0"/>
          <w:sz w:val="32"/>
          <w:szCs w:val="32"/>
        </w:rPr>
        <w:t>区安监</w:t>
      </w:r>
      <w:r>
        <w:rPr>
          <w:rFonts w:ascii="仿宋_GB2312" w:eastAsia="仿宋_GB2312" w:hAnsi="宋体" w:cs="宋体" w:hint="eastAsia"/>
          <w:color w:val="000000"/>
          <w:kern w:val="0"/>
          <w:sz w:val="32"/>
          <w:szCs w:val="32"/>
        </w:rPr>
        <w:t>局法制应急管理科</w:t>
      </w:r>
      <w:r w:rsidRPr="006F1F02">
        <w:rPr>
          <w:rFonts w:ascii="仿宋_GB2312" w:eastAsia="仿宋_GB2312" w:hAnsi="宋体" w:cs="宋体" w:hint="eastAsia"/>
          <w:color w:val="000000"/>
          <w:kern w:val="0"/>
          <w:sz w:val="32"/>
          <w:szCs w:val="32"/>
        </w:rPr>
        <w:t>。</w:t>
      </w:r>
    </w:p>
    <w:p w:rsidR="00D14411" w:rsidRPr="00541AB8" w:rsidRDefault="00D14411" w:rsidP="00E92D30">
      <w:pPr>
        <w:widowControl/>
        <w:shd w:val="clear" w:color="auto" w:fill="FFFFFF"/>
        <w:spacing w:line="560" w:lineRule="exact"/>
        <w:ind w:firstLineChars="199" w:firstLine="639"/>
        <w:jc w:val="left"/>
        <w:rPr>
          <w:rFonts w:ascii="仿宋_GB2312" w:eastAsia="仿宋_GB2312" w:hAnsi="宋体" w:cs="宋体"/>
          <w:color w:val="333333"/>
          <w:kern w:val="0"/>
          <w:sz w:val="32"/>
          <w:szCs w:val="32"/>
        </w:rPr>
      </w:pPr>
      <w:r w:rsidRPr="00E71F49">
        <w:rPr>
          <w:rFonts w:ascii="仿宋_GB2312" w:eastAsia="仿宋_GB2312" w:hAnsi="黑体" w:hint="eastAsia"/>
          <w:b/>
          <w:sz w:val="32"/>
          <w:szCs w:val="32"/>
        </w:rPr>
        <w:t>3.开展评估</w:t>
      </w:r>
      <w:r>
        <w:rPr>
          <w:rFonts w:ascii="仿宋_GB2312" w:eastAsia="仿宋_GB2312" w:hAnsi="黑体" w:hint="eastAsia"/>
          <w:b/>
          <w:sz w:val="32"/>
          <w:szCs w:val="32"/>
        </w:rPr>
        <w:t>阶段</w:t>
      </w:r>
      <w:r>
        <w:rPr>
          <w:rFonts w:ascii="仿宋_GB2312" w:eastAsia="仿宋_GB2312" w:hAnsi="黑体" w:hint="eastAsia"/>
          <w:sz w:val="32"/>
          <w:szCs w:val="32"/>
        </w:rPr>
        <w:t>。2018年12月20日前，由确定参加安全生产评估的生产经营单位与第三方中介机构签订协议，并按照各行业领域确定的范围比例，组织好2018年的安全生产评估工作，形成评估报告，</w:t>
      </w:r>
      <w:r w:rsidRPr="009910E9">
        <w:rPr>
          <w:rFonts w:ascii="仿宋_GB2312" w:eastAsia="仿宋_GB2312" w:hAnsi="黑体" w:hint="eastAsia"/>
          <w:sz w:val="32"/>
          <w:szCs w:val="32"/>
        </w:rPr>
        <w:t>全方位、全过程辨识生产工</w:t>
      </w:r>
      <w:r>
        <w:rPr>
          <w:rFonts w:ascii="仿宋_GB2312" w:eastAsia="仿宋_GB2312" w:hAnsi="黑体" w:hint="eastAsia"/>
          <w:sz w:val="32"/>
          <w:szCs w:val="32"/>
        </w:rPr>
        <w:t>艺、设备设施、作业</w:t>
      </w:r>
      <w:r>
        <w:rPr>
          <w:rFonts w:ascii="仿宋_GB2312" w:eastAsia="仿宋_GB2312" w:hAnsi="黑体" w:hint="eastAsia"/>
          <w:sz w:val="32"/>
          <w:szCs w:val="32"/>
        </w:rPr>
        <w:lastRenderedPageBreak/>
        <w:t>环境、人员行为和管理体系等方面存在的安全风险。</w:t>
      </w:r>
      <w:r w:rsidRPr="006F1F02">
        <w:rPr>
          <w:rFonts w:ascii="仿宋_GB2312" w:eastAsia="仿宋_GB2312" w:hAnsi="宋体" w:cs="宋体" w:hint="eastAsia"/>
          <w:color w:val="000000"/>
          <w:kern w:val="0"/>
          <w:sz w:val="32"/>
          <w:szCs w:val="32"/>
        </w:rPr>
        <w:t>重大安全风险要</w:t>
      </w:r>
      <w:r>
        <w:rPr>
          <w:rFonts w:ascii="仿宋_GB2312" w:eastAsia="仿宋_GB2312" w:hAnsi="宋体" w:cs="宋体" w:hint="eastAsia"/>
          <w:color w:val="000000"/>
          <w:kern w:val="0"/>
          <w:sz w:val="32"/>
          <w:szCs w:val="32"/>
        </w:rPr>
        <w:t>填写清单、汇总造册，报</w:t>
      </w:r>
      <w:r w:rsidRPr="006F1F02">
        <w:rPr>
          <w:rFonts w:ascii="仿宋_GB2312" w:eastAsia="仿宋_GB2312" w:hAnsi="宋体" w:cs="宋体" w:hint="eastAsia"/>
          <w:color w:val="000000"/>
          <w:kern w:val="0"/>
          <w:sz w:val="32"/>
          <w:szCs w:val="32"/>
        </w:rPr>
        <w:t>区安监局法制应急管理科备案。</w:t>
      </w:r>
    </w:p>
    <w:p w:rsidR="00D14411" w:rsidRDefault="00D14411" w:rsidP="00E92D30">
      <w:pPr>
        <w:spacing w:line="560" w:lineRule="exact"/>
        <w:ind w:firstLineChars="200" w:firstLine="643"/>
        <w:jc w:val="left"/>
        <w:rPr>
          <w:rFonts w:ascii="仿宋_GB2312" w:eastAsia="仿宋_GB2312" w:hAnsi="仿宋_GB2312" w:cs="仿宋_GB2312"/>
          <w:sz w:val="32"/>
          <w:szCs w:val="32"/>
        </w:rPr>
      </w:pPr>
      <w:r w:rsidRPr="00E71F49">
        <w:rPr>
          <w:rFonts w:ascii="仿宋_GB2312" w:eastAsia="仿宋_GB2312" w:hAnsi="黑体" w:hint="eastAsia"/>
          <w:b/>
          <w:sz w:val="32"/>
          <w:szCs w:val="32"/>
        </w:rPr>
        <w:t>4.巩固提升</w:t>
      </w:r>
      <w:r>
        <w:rPr>
          <w:rFonts w:ascii="仿宋_GB2312" w:eastAsia="仿宋_GB2312" w:hAnsi="黑体" w:hint="eastAsia"/>
          <w:b/>
          <w:sz w:val="32"/>
          <w:szCs w:val="32"/>
        </w:rPr>
        <w:t>阶段</w:t>
      </w:r>
      <w:r>
        <w:rPr>
          <w:rFonts w:ascii="仿宋_GB2312" w:eastAsia="仿宋_GB2312" w:hAnsi="黑体" w:hint="eastAsia"/>
          <w:sz w:val="32"/>
          <w:szCs w:val="32"/>
        </w:rPr>
        <w:t>。2019年年底前，结合城市安全风险评估，全面推进、深化生产经营单位安全生产风险分级管控机制建设，形成较为完整的全区风险分级管控工作制度，</w:t>
      </w:r>
      <w:r>
        <w:rPr>
          <w:rFonts w:ascii="仿宋_GB2312" w:eastAsia="仿宋_GB2312" w:hAnsi="仿宋_GB2312" w:cs="仿宋_GB2312" w:hint="eastAsia"/>
          <w:sz w:val="32"/>
          <w:szCs w:val="32"/>
        </w:rPr>
        <w:t>工贸行业领域大部分企业，交通运输、建筑施工、公共场所、城镇燃气、特种设备等重点行业</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的企业建立安全风险分级管控机制，风险管控措施更加精准、有效，企业本质安全水平显著提高，事故防范和安全管理能力明显提升。</w:t>
      </w:r>
    </w:p>
    <w:p w:rsidR="00D14411" w:rsidRPr="002475E5" w:rsidRDefault="00D14411" w:rsidP="00E92D30">
      <w:pPr>
        <w:spacing w:line="560" w:lineRule="exact"/>
        <w:ind w:left="636"/>
        <w:rPr>
          <w:rFonts w:ascii="黑体" w:eastAsia="黑体" w:hAnsi="黑体"/>
          <w:sz w:val="32"/>
          <w:szCs w:val="32"/>
        </w:rPr>
      </w:pPr>
      <w:r>
        <w:rPr>
          <w:rFonts w:ascii="黑体" w:eastAsia="黑体" w:hAnsi="黑体" w:hint="eastAsia"/>
          <w:sz w:val="32"/>
          <w:szCs w:val="32"/>
        </w:rPr>
        <w:t>五、</w:t>
      </w:r>
      <w:r w:rsidRPr="002475E5">
        <w:rPr>
          <w:rFonts w:ascii="黑体" w:eastAsia="黑体" w:hAnsi="黑体" w:hint="eastAsia"/>
          <w:sz w:val="32"/>
          <w:szCs w:val="32"/>
        </w:rPr>
        <w:t>工作要求</w:t>
      </w:r>
    </w:p>
    <w:p w:rsidR="00D14411" w:rsidRPr="00AB7F4D" w:rsidRDefault="00D14411" w:rsidP="00E92D30">
      <w:pPr>
        <w:widowControl/>
        <w:shd w:val="clear" w:color="auto" w:fill="FFFFFF"/>
        <w:spacing w:line="560" w:lineRule="exact"/>
        <w:ind w:firstLine="480"/>
        <w:jc w:val="left"/>
        <w:rPr>
          <w:rFonts w:ascii="仿宋_GB2312" w:eastAsia="仿宋_GB2312" w:hAnsi="宋体" w:cs="宋体"/>
          <w:b/>
          <w:color w:val="000000"/>
          <w:kern w:val="0"/>
          <w:sz w:val="32"/>
          <w:szCs w:val="32"/>
        </w:rPr>
      </w:pPr>
      <w:r w:rsidRPr="00AB7F4D">
        <w:rPr>
          <w:rFonts w:ascii="仿宋_GB2312" w:eastAsia="仿宋_GB2312" w:hAnsi="宋体" w:cs="宋体" w:hint="eastAsia"/>
          <w:b/>
          <w:color w:val="000000"/>
          <w:kern w:val="0"/>
          <w:sz w:val="32"/>
          <w:szCs w:val="32"/>
        </w:rPr>
        <w:t>1.提高认识，加强领导</w:t>
      </w:r>
      <w:r w:rsidRPr="00AB7F4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各单位、各部门要成立工作领导小组，明确一名分管领导牵头负责，指定一名相关人员负责信息报送和工作联络；认真学习贯彻《蓟县标本兼治防范遏制重特大事故工作实施意见》（蓟安生［2016］8号）和《市安委会关于构建安全风险管控和隐患排查治理双重预防机制的实施意见》（津安生［2016］17号）等文件精神，切实认清对生产经营单位开展安全风险评估工作的重要意义，把握工作标准要求，进一步增强安全风险管控意识。</w:t>
      </w:r>
    </w:p>
    <w:p w:rsidR="00D14411" w:rsidRDefault="00D14411" w:rsidP="00E92D30">
      <w:pPr>
        <w:widowControl/>
        <w:spacing w:line="560" w:lineRule="exact"/>
        <w:ind w:firstLine="639"/>
        <w:jc w:val="left"/>
        <w:rPr>
          <w:rFonts w:ascii="仿宋_GB2312" w:eastAsia="仿宋_GB2312" w:hAnsi="宋体" w:cs="宋体"/>
          <w:color w:val="000000"/>
          <w:kern w:val="0"/>
          <w:sz w:val="32"/>
          <w:szCs w:val="32"/>
        </w:rPr>
      </w:pPr>
      <w:r w:rsidRPr="00AB7F4D">
        <w:rPr>
          <w:rFonts w:ascii="仿宋_GB2312" w:eastAsia="仿宋_GB2312" w:hAnsi="宋体" w:cs="宋体" w:hint="eastAsia"/>
          <w:b/>
          <w:color w:val="000000"/>
          <w:kern w:val="0"/>
          <w:sz w:val="32"/>
          <w:szCs w:val="32"/>
        </w:rPr>
        <w:t>2.</w:t>
      </w:r>
      <w:r>
        <w:rPr>
          <w:rFonts w:ascii="仿宋_GB2312" w:eastAsia="仿宋_GB2312" w:hAnsi="宋体" w:cs="宋体" w:hint="eastAsia"/>
          <w:b/>
          <w:color w:val="000000"/>
          <w:kern w:val="0"/>
          <w:sz w:val="32"/>
          <w:szCs w:val="32"/>
        </w:rPr>
        <w:t>明确职责</w:t>
      </w:r>
      <w:r w:rsidRPr="00AB7F4D">
        <w:rPr>
          <w:rFonts w:ascii="仿宋_GB2312" w:eastAsia="仿宋_GB2312" w:hAnsi="宋体" w:cs="宋体" w:hint="eastAsia"/>
          <w:b/>
          <w:color w:val="000000"/>
          <w:kern w:val="0"/>
          <w:sz w:val="32"/>
          <w:szCs w:val="32"/>
        </w:rPr>
        <w:t>，有效推进</w:t>
      </w:r>
      <w:r w:rsidRPr="00AB7F4D">
        <w:rPr>
          <w:rFonts w:ascii="仿宋_GB2312" w:eastAsia="仿宋_GB2312" w:hAnsi="宋体" w:cs="宋体" w:hint="eastAsia"/>
          <w:color w:val="000000"/>
          <w:kern w:val="0"/>
          <w:sz w:val="32"/>
          <w:szCs w:val="32"/>
        </w:rPr>
        <w:t>。</w:t>
      </w:r>
      <w:r w:rsidRPr="00954246">
        <w:rPr>
          <w:rFonts w:ascii="仿宋_GB2312" w:eastAsia="仿宋_GB2312" w:hAnsi="宋体" w:cs="宋体" w:hint="eastAsia"/>
          <w:color w:val="000000"/>
          <w:kern w:val="0"/>
          <w:sz w:val="32"/>
          <w:szCs w:val="32"/>
        </w:rPr>
        <w:t>各行业主管部门要按照</w:t>
      </w:r>
      <w:r w:rsidRPr="00954246">
        <w:rPr>
          <w:rFonts w:ascii="宋体" w:hAnsi="宋体" w:cs="宋体"/>
          <w:color w:val="000000"/>
          <w:kern w:val="0"/>
          <w:sz w:val="32"/>
          <w:szCs w:val="32"/>
        </w:rPr>
        <w:t>“</w:t>
      </w:r>
      <w:r w:rsidRPr="00954246">
        <w:rPr>
          <w:rFonts w:ascii="仿宋_GB2312" w:eastAsia="仿宋_GB2312" w:hAnsi="宋体" w:cs="宋体" w:hint="eastAsia"/>
          <w:color w:val="000000"/>
          <w:kern w:val="0"/>
          <w:sz w:val="32"/>
          <w:szCs w:val="32"/>
        </w:rPr>
        <w:t>谁主管、谁负责</w:t>
      </w:r>
      <w:r w:rsidRPr="00954246">
        <w:rPr>
          <w:rFonts w:ascii="宋体" w:hAnsi="宋体" w:cs="宋体"/>
          <w:color w:val="000000"/>
          <w:kern w:val="0"/>
          <w:sz w:val="32"/>
          <w:szCs w:val="32"/>
        </w:rPr>
        <w:t>”</w:t>
      </w:r>
      <w:r>
        <w:rPr>
          <w:rFonts w:ascii="仿宋_GB2312" w:eastAsia="仿宋_GB2312" w:hAnsi="宋体" w:cs="宋体" w:hint="eastAsia"/>
          <w:color w:val="000000"/>
          <w:kern w:val="0"/>
          <w:sz w:val="32"/>
          <w:szCs w:val="32"/>
        </w:rPr>
        <w:t>原则，严格落实行业监管主体责任,没有行业主管部门的生产经营单位，要按照属地管理原则，由各镇乡街、园区、新城管委会督促指导所属生产经营单位开展安全风险评估、安全生</w:t>
      </w:r>
      <w:r>
        <w:rPr>
          <w:rFonts w:ascii="仿宋_GB2312" w:eastAsia="仿宋_GB2312" w:hAnsi="宋体" w:cs="宋体" w:hint="eastAsia"/>
          <w:color w:val="000000"/>
          <w:kern w:val="0"/>
          <w:sz w:val="32"/>
          <w:szCs w:val="32"/>
        </w:rPr>
        <w:lastRenderedPageBreak/>
        <w:t>产标准化建设和应急预案编制等工作，全方位、全过程排查评估事故风险点，对每个风险点都要明确管控层级，落实具体的责任单位、责任人和管控措施，形成“一点一册”；及时开展</w:t>
      </w:r>
      <w:r w:rsidRPr="00EC5D58">
        <w:rPr>
          <w:rFonts w:ascii="仿宋_GB2312" w:eastAsia="仿宋_GB2312" w:hAnsi="宋体" w:cs="宋体" w:hint="eastAsia"/>
          <w:color w:val="000000"/>
          <w:kern w:val="0"/>
          <w:sz w:val="32"/>
          <w:szCs w:val="32"/>
        </w:rPr>
        <w:t>动态评估、调整风险等级和管控措施，确保安全风险始终处于受控范围内。</w:t>
      </w:r>
    </w:p>
    <w:p w:rsidR="00D14411" w:rsidRDefault="00D14411" w:rsidP="00E92D30">
      <w:pPr>
        <w:widowControl/>
        <w:shd w:val="clear" w:color="auto" w:fill="FFFFFF"/>
        <w:spacing w:line="560" w:lineRule="exact"/>
        <w:ind w:firstLineChars="199" w:firstLine="639"/>
        <w:jc w:val="left"/>
        <w:rPr>
          <w:rFonts w:ascii="仿宋_GB2312" w:eastAsia="仿宋_GB2312" w:hAnsi="宋体" w:cs="宋体"/>
          <w:color w:val="000000"/>
          <w:kern w:val="0"/>
          <w:sz w:val="32"/>
          <w:szCs w:val="32"/>
        </w:rPr>
      </w:pPr>
      <w:r w:rsidRPr="00AB7F4D">
        <w:rPr>
          <w:rFonts w:ascii="仿宋_GB2312" w:eastAsia="仿宋_GB2312" w:hAnsi="宋体" w:cs="宋体" w:hint="eastAsia"/>
          <w:b/>
          <w:color w:val="000000"/>
          <w:kern w:val="0"/>
          <w:sz w:val="32"/>
          <w:szCs w:val="32"/>
        </w:rPr>
        <w:t>3.运用成果，强化管控</w:t>
      </w:r>
      <w:r w:rsidRPr="00AB7F4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各单位、各部门要将此次生产经营单位</w:t>
      </w:r>
      <w:r w:rsidRPr="00E7466F">
        <w:rPr>
          <w:rFonts w:ascii="仿宋_GB2312" w:eastAsia="仿宋_GB2312" w:hAnsi="宋体" w:cs="宋体" w:hint="eastAsia"/>
          <w:color w:val="000000"/>
          <w:kern w:val="0"/>
          <w:sz w:val="32"/>
          <w:szCs w:val="32"/>
        </w:rPr>
        <w:t>安全风险评估工作与城市安全风险评估工作结合起来，突出遏制重特大事故，聚焦重大危险源、人员密集型场所和高危作业工序。</w:t>
      </w:r>
      <w:r>
        <w:rPr>
          <w:rFonts w:ascii="仿宋_GB2312" w:eastAsia="仿宋_GB2312" w:hAnsi="宋体" w:cs="宋体" w:hint="eastAsia"/>
          <w:color w:val="000000"/>
          <w:kern w:val="0"/>
          <w:sz w:val="32"/>
          <w:szCs w:val="32"/>
        </w:rPr>
        <w:t>依据相应标准，确定</w:t>
      </w:r>
      <w:r w:rsidRPr="00954246">
        <w:rPr>
          <w:rFonts w:ascii="仿宋_GB2312" w:eastAsia="仿宋_GB2312" w:hAnsi="宋体" w:cs="宋体" w:hint="eastAsia"/>
          <w:color w:val="000000"/>
          <w:kern w:val="0"/>
          <w:sz w:val="32"/>
          <w:szCs w:val="32"/>
        </w:rPr>
        <w:t>安全风险</w:t>
      </w:r>
      <w:r w:rsidRPr="00954246">
        <w:rPr>
          <w:rFonts w:ascii="宋体" w:hAnsi="宋体" w:cs="宋体"/>
          <w:color w:val="000000"/>
          <w:kern w:val="0"/>
          <w:sz w:val="32"/>
          <w:szCs w:val="32"/>
        </w:rPr>
        <w:t>“</w:t>
      </w:r>
      <w:r>
        <w:rPr>
          <w:rFonts w:ascii="仿宋_GB2312" w:eastAsia="仿宋_GB2312" w:hAnsi="宋体" w:cs="宋体" w:hint="eastAsia"/>
          <w:color w:val="000000"/>
          <w:kern w:val="0"/>
          <w:sz w:val="32"/>
          <w:szCs w:val="32"/>
        </w:rPr>
        <w:t>红橙黄</w:t>
      </w:r>
      <w:r w:rsidRPr="00954246">
        <w:rPr>
          <w:rFonts w:ascii="仿宋_GB2312" w:eastAsia="仿宋_GB2312" w:hAnsi="宋体" w:cs="宋体" w:hint="eastAsia"/>
          <w:color w:val="000000"/>
          <w:kern w:val="0"/>
          <w:sz w:val="32"/>
          <w:szCs w:val="32"/>
        </w:rPr>
        <w:t>蓝</w:t>
      </w:r>
      <w:r w:rsidRPr="00954246">
        <w:rPr>
          <w:rFonts w:ascii="宋体" w:hAnsi="宋体" w:cs="宋体"/>
          <w:color w:val="000000"/>
          <w:kern w:val="0"/>
          <w:sz w:val="32"/>
          <w:szCs w:val="32"/>
        </w:rPr>
        <w:t>”</w:t>
      </w:r>
      <w:r w:rsidRPr="0095424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重大、较大、一般</w:t>
      </w:r>
      <w:r w:rsidRPr="005B62E6">
        <w:rPr>
          <w:rFonts w:ascii="仿宋_GB2312" w:eastAsia="仿宋_GB2312" w:hAnsi="宋体" w:cs="宋体" w:hint="eastAsia"/>
          <w:color w:val="000000"/>
          <w:kern w:val="0"/>
          <w:sz w:val="32"/>
          <w:szCs w:val="32"/>
        </w:rPr>
        <w:t>和低风险</w:t>
      </w:r>
      <w:r w:rsidRPr="00954246">
        <w:rPr>
          <w:rFonts w:ascii="仿宋_GB2312" w:eastAsia="仿宋_GB2312" w:hAnsi="宋体" w:cs="宋体" w:hint="eastAsia"/>
          <w:color w:val="000000"/>
          <w:kern w:val="0"/>
          <w:sz w:val="32"/>
          <w:szCs w:val="32"/>
        </w:rPr>
        <w:t>）</w:t>
      </w:r>
      <w:r w:rsidRPr="005B62E6">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个等级，建立安全风险数据库，绘制本区域、本行业</w:t>
      </w:r>
      <w:r w:rsidRPr="00954246">
        <w:rPr>
          <w:rFonts w:ascii="仿宋_GB2312" w:eastAsia="仿宋_GB2312" w:hAnsi="宋体" w:cs="宋体" w:hint="eastAsia"/>
          <w:color w:val="000000"/>
          <w:kern w:val="0"/>
          <w:sz w:val="32"/>
          <w:szCs w:val="32"/>
        </w:rPr>
        <w:t>安全风险等级分布电子图</w:t>
      </w:r>
      <w:r>
        <w:rPr>
          <w:rFonts w:ascii="仿宋_GB2312" w:eastAsia="仿宋_GB2312" w:hAnsi="宋体" w:cs="宋体" w:hint="eastAsia"/>
          <w:color w:val="000000"/>
          <w:kern w:val="0"/>
          <w:sz w:val="32"/>
          <w:szCs w:val="32"/>
        </w:rPr>
        <w:t>，</w:t>
      </w:r>
      <w:r w:rsidRPr="00954246">
        <w:rPr>
          <w:rFonts w:ascii="仿宋_GB2312" w:eastAsia="仿宋_GB2312" w:hAnsi="宋体" w:cs="宋体" w:hint="eastAsia"/>
          <w:color w:val="000000"/>
          <w:kern w:val="0"/>
          <w:sz w:val="32"/>
          <w:szCs w:val="32"/>
        </w:rPr>
        <w:t>不断强化风险管控、隐患排查治理、事后处置体系建设，有效防范和遏制各类重特大事故，全面提</w:t>
      </w:r>
      <w:r>
        <w:rPr>
          <w:rFonts w:ascii="仿宋_GB2312" w:eastAsia="仿宋_GB2312" w:hAnsi="宋体" w:cs="宋体" w:hint="eastAsia"/>
          <w:color w:val="000000"/>
          <w:kern w:val="0"/>
          <w:sz w:val="32"/>
          <w:szCs w:val="32"/>
        </w:rPr>
        <w:t>升我区安全保障水平。区安委办将加强督促检查，并将开展安全生产评估工作纳入绩效考核内容。</w:t>
      </w:r>
    </w:p>
    <w:p w:rsidR="00D14411" w:rsidRDefault="00D14411" w:rsidP="00E92D30">
      <w:pPr>
        <w:widowControl/>
        <w:shd w:val="clear" w:color="auto" w:fill="FFFFFF"/>
        <w:spacing w:line="560" w:lineRule="exact"/>
        <w:ind w:firstLineChars="199" w:firstLine="637"/>
        <w:jc w:val="left"/>
        <w:rPr>
          <w:rFonts w:ascii="仿宋_GB2312" w:eastAsia="仿宋_GB2312" w:hAnsi="宋体" w:cs="宋体"/>
          <w:color w:val="000000"/>
          <w:kern w:val="0"/>
          <w:sz w:val="32"/>
          <w:szCs w:val="32"/>
        </w:rPr>
      </w:pPr>
      <w:r w:rsidRPr="00541AB8">
        <w:rPr>
          <w:rFonts w:ascii="仿宋_GB2312" w:eastAsia="仿宋_GB2312" w:hAnsi="宋体" w:cs="宋体" w:hint="eastAsia"/>
          <w:color w:val="000000"/>
          <w:kern w:val="0"/>
          <w:sz w:val="32"/>
          <w:szCs w:val="32"/>
        </w:rPr>
        <w:t>各单位、各部门</w:t>
      </w:r>
      <w:r>
        <w:rPr>
          <w:rFonts w:ascii="仿宋_GB2312" w:eastAsia="仿宋_GB2312" w:hAnsi="宋体" w:cs="宋体" w:hint="eastAsia"/>
          <w:color w:val="000000"/>
          <w:kern w:val="0"/>
          <w:sz w:val="32"/>
          <w:szCs w:val="32"/>
        </w:rPr>
        <w:t>将工作计划和《安全风险评估分管领导和联络员名单》（附件一）于2018年10月15日前、阶段性工作汇总于2018年12月30日前、工作总结于2019年12月30日前报送至区安监局法制应急管理科。</w:t>
      </w:r>
    </w:p>
    <w:p w:rsidR="00D14411" w:rsidRDefault="00D14411" w:rsidP="00E92D30">
      <w:pPr>
        <w:widowControl/>
        <w:shd w:val="clear" w:color="auto" w:fill="FFFFFF"/>
        <w:spacing w:line="560" w:lineRule="exact"/>
        <w:ind w:firstLineChars="199" w:firstLine="637"/>
        <w:jc w:val="left"/>
        <w:rPr>
          <w:rFonts w:ascii="仿宋_GB2312" w:eastAsia="仿宋_GB2312" w:hAnsi="宋体" w:cs="宋体"/>
          <w:color w:val="000000"/>
          <w:kern w:val="0"/>
          <w:sz w:val="32"/>
          <w:szCs w:val="32"/>
        </w:rPr>
      </w:pPr>
    </w:p>
    <w:p w:rsidR="00D14411" w:rsidRDefault="00D14411" w:rsidP="00E92D30">
      <w:pPr>
        <w:widowControl/>
        <w:shd w:val="clear" w:color="auto" w:fill="FFFFFF"/>
        <w:spacing w:line="560" w:lineRule="exact"/>
        <w:ind w:firstLineChars="199" w:firstLine="63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w:t>
      </w:r>
      <w:r w:rsidR="00E92D30">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安全风险评估分管领导和联络员名单；</w:t>
      </w:r>
    </w:p>
    <w:p w:rsidR="00D14411" w:rsidRDefault="00E92D30" w:rsidP="00E92D30">
      <w:pPr>
        <w:widowControl/>
        <w:shd w:val="clear" w:color="auto" w:fill="FFFFFF"/>
        <w:spacing w:line="560" w:lineRule="exact"/>
        <w:ind w:firstLineChars="199" w:firstLine="63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w:t>
      </w:r>
      <w:r w:rsidR="00D14411">
        <w:rPr>
          <w:rFonts w:ascii="仿宋_GB2312" w:eastAsia="仿宋_GB2312" w:hAnsi="宋体" w:cs="宋体" w:hint="eastAsia"/>
          <w:color w:val="000000"/>
          <w:kern w:val="0"/>
          <w:sz w:val="32"/>
          <w:szCs w:val="32"/>
        </w:rPr>
        <w:t>安全风险评估生产经营单位名录。</w:t>
      </w:r>
    </w:p>
    <w:p w:rsidR="00E92D30" w:rsidRPr="00E92D30" w:rsidRDefault="00E92D30" w:rsidP="00E92D30">
      <w:pPr>
        <w:widowControl/>
        <w:shd w:val="clear" w:color="auto" w:fill="FFFFFF"/>
        <w:spacing w:line="560" w:lineRule="exact"/>
        <w:ind w:firstLineChars="199" w:firstLine="637"/>
        <w:jc w:val="left"/>
        <w:rPr>
          <w:rFonts w:ascii="仿宋_GB2312" w:eastAsia="仿宋_GB2312" w:hAnsi="宋体" w:cs="宋体"/>
          <w:color w:val="000000"/>
          <w:kern w:val="0"/>
          <w:sz w:val="32"/>
          <w:szCs w:val="32"/>
        </w:rPr>
      </w:pPr>
    </w:p>
    <w:p w:rsidR="00D14411" w:rsidRPr="00E548E8" w:rsidRDefault="00D14411" w:rsidP="00E92D30">
      <w:pPr>
        <w:widowControl/>
        <w:shd w:val="clear" w:color="auto" w:fill="FFFFFF"/>
        <w:spacing w:line="560" w:lineRule="exact"/>
        <w:ind w:firstLineChars="199" w:firstLine="637"/>
        <w:jc w:val="left"/>
        <w:rPr>
          <w:rFonts w:ascii="仿宋_GB2312" w:eastAsia="仿宋_GB2312" w:hAnsi="宋体" w:cs="宋体"/>
          <w:color w:val="000000"/>
          <w:kern w:val="0"/>
          <w:sz w:val="32"/>
          <w:szCs w:val="32"/>
        </w:rPr>
      </w:pPr>
    </w:p>
    <w:p w:rsidR="00D14411" w:rsidRDefault="00D14411" w:rsidP="00E92D30">
      <w:pPr>
        <w:widowControl/>
        <w:shd w:val="clear" w:color="auto" w:fill="FFFFFF"/>
        <w:spacing w:line="560" w:lineRule="exact"/>
        <w:ind w:firstLineChars="199" w:firstLine="63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2018年9月2</w:t>
      </w:r>
      <w:r>
        <w:rPr>
          <w:rFonts w:ascii="仿宋_GB2312" w:eastAsia="仿宋_GB2312" w:hAnsi="宋体" w:cs="宋体" w:hint="eastAsia"/>
          <w:color w:val="000000"/>
          <w:kern w:val="0"/>
          <w:sz w:val="32"/>
          <w:szCs w:val="32"/>
        </w:rPr>
        <w:t>7</w:t>
      </w:r>
      <w:r>
        <w:rPr>
          <w:rFonts w:ascii="仿宋_GB2312" w:eastAsia="仿宋_GB2312" w:hAnsi="宋体" w:cs="宋体"/>
          <w:color w:val="000000"/>
          <w:kern w:val="0"/>
          <w:sz w:val="32"/>
          <w:szCs w:val="32"/>
        </w:rPr>
        <w:t>日</w:t>
      </w:r>
    </w:p>
    <w:p w:rsidR="00D14411" w:rsidRDefault="00D14411" w:rsidP="00E92D30">
      <w:pPr>
        <w:widowControl/>
        <w:shd w:val="clear" w:color="auto" w:fill="FFFFFF"/>
        <w:spacing w:line="560" w:lineRule="exact"/>
        <w:ind w:firstLineChars="199" w:firstLine="63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（联系人：李洪生；办公电话及传真60819609；电子邮箱：ajjfzyj@163.com）</w:t>
      </w:r>
    </w:p>
    <w:p w:rsidR="00D14411" w:rsidRPr="00A22A6A" w:rsidRDefault="00D14411" w:rsidP="00E92D30">
      <w:pPr>
        <w:widowControl/>
        <w:shd w:val="clear" w:color="auto" w:fill="FFFFFF"/>
        <w:spacing w:line="560" w:lineRule="exact"/>
        <w:ind w:firstLineChars="199" w:firstLine="637"/>
        <w:jc w:val="left"/>
        <w:rPr>
          <w:rFonts w:ascii="宋体" w:hAnsi="宋体" w:cs="宋体"/>
          <w:color w:val="333333"/>
          <w:kern w:val="0"/>
          <w:sz w:val="24"/>
        </w:rPr>
      </w:pPr>
      <w:r>
        <w:rPr>
          <w:rFonts w:ascii="仿宋_GB2312" w:eastAsia="仿宋_GB2312" w:hAnsi="宋体" w:cs="宋体" w:hint="eastAsia"/>
          <w:color w:val="000000"/>
          <w:kern w:val="0"/>
          <w:sz w:val="32"/>
          <w:szCs w:val="32"/>
        </w:rPr>
        <w:t>（此件依申请公开）</w:t>
      </w: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246F2A" w:rsidRDefault="00246F2A" w:rsidP="00441742">
      <w:pPr>
        <w:spacing w:line="560" w:lineRule="exact"/>
        <w:ind w:left="636"/>
        <w:rPr>
          <w:rFonts w:ascii="仿宋_GB2312" w:eastAsia="仿宋_GB2312" w:hAnsi="宋体" w:cs="宋体"/>
          <w:color w:val="000000"/>
          <w:kern w:val="0"/>
          <w:sz w:val="28"/>
          <w:szCs w:val="28"/>
          <w:u w:val="single"/>
        </w:rPr>
      </w:pPr>
    </w:p>
    <w:p w:rsidR="00441742" w:rsidRPr="00E548E8" w:rsidRDefault="00441742" w:rsidP="00441742">
      <w:pPr>
        <w:spacing w:line="560" w:lineRule="exact"/>
        <w:ind w:left="636"/>
        <w:rPr>
          <w:rFonts w:ascii="仿宋_GB2312" w:eastAsia="仿宋_GB2312"/>
          <w:b/>
          <w:sz w:val="32"/>
          <w:szCs w:val="32"/>
        </w:rPr>
      </w:pPr>
      <w:bookmarkStart w:id="0" w:name="_GoBack"/>
      <w:bookmarkEnd w:id="0"/>
      <w:r w:rsidRPr="00E548E8">
        <w:rPr>
          <w:rFonts w:ascii="仿宋_GB2312" w:eastAsia="仿宋_GB2312" w:hint="eastAsia"/>
          <w:b/>
          <w:sz w:val="32"/>
          <w:szCs w:val="32"/>
        </w:rPr>
        <w:lastRenderedPageBreak/>
        <w:t>附件</w:t>
      </w:r>
      <w:r>
        <w:rPr>
          <w:rFonts w:ascii="仿宋_GB2312" w:eastAsia="仿宋_GB2312" w:hint="eastAsia"/>
          <w:b/>
          <w:sz w:val="32"/>
          <w:szCs w:val="32"/>
        </w:rPr>
        <w:t>1</w:t>
      </w:r>
      <w:r w:rsidRPr="00E548E8">
        <w:rPr>
          <w:rFonts w:ascii="仿宋_GB2312" w:eastAsia="仿宋_GB2312" w:hint="eastAsia"/>
          <w:b/>
          <w:sz w:val="32"/>
          <w:szCs w:val="32"/>
        </w:rPr>
        <w:t>：</w:t>
      </w:r>
    </w:p>
    <w:p w:rsidR="00441742" w:rsidRDefault="00441742" w:rsidP="00441742">
      <w:pPr>
        <w:spacing w:line="560" w:lineRule="exact"/>
        <w:ind w:left="636"/>
        <w:rPr>
          <w:rFonts w:ascii="仿宋_GB2312" w:eastAsia="仿宋_GB2312"/>
          <w:sz w:val="32"/>
          <w:szCs w:val="32"/>
        </w:rPr>
      </w:pPr>
    </w:p>
    <w:p w:rsidR="00441742" w:rsidRDefault="00441742" w:rsidP="00441742">
      <w:pPr>
        <w:spacing w:line="560" w:lineRule="exact"/>
        <w:ind w:left="636"/>
        <w:jc w:val="center"/>
        <w:rPr>
          <w:rFonts w:ascii="宋体" w:hAnsi="宋体"/>
          <w:b/>
          <w:sz w:val="44"/>
          <w:szCs w:val="44"/>
        </w:rPr>
      </w:pPr>
      <w:r w:rsidRPr="00E548E8">
        <w:rPr>
          <w:rFonts w:ascii="宋体" w:hAnsi="宋体" w:hint="eastAsia"/>
          <w:b/>
          <w:sz w:val="44"/>
          <w:szCs w:val="44"/>
        </w:rPr>
        <w:t>安全风险评估分管领导和联络</w:t>
      </w:r>
      <w:r>
        <w:rPr>
          <w:rFonts w:ascii="宋体" w:hAnsi="宋体" w:hint="eastAsia"/>
          <w:b/>
          <w:sz w:val="44"/>
          <w:szCs w:val="44"/>
        </w:rPr>
        <w:t>员</w:t>
      </w:r>
      <w:r w:rsidRPr="00E548E8">
        <w:rPr>
          <w:rFonts w:ascii="宋体" w:hAnsi="宋体" w:hint="eastAsia"/>
          <w:b/>
          <w:sz w:val="44"/>
          <w:szCs w:val="44"/>
        </w:rPr>
        <w:t>名单</w:t>
      </w:r>
    </w:p>
    <w:p w:rsidR="00441742" w:rsidRPr="00E548E8" w:rsidRDefault="00441742" w:rsidP="00441742">
      <w:pPr>
        <w:spacing w:line="560" w:lineRule="exact"/>
        <w:rPr>
          <w:rFonts w:ascii="黑体" w:eastAsia="黑体" w:hAnsi="黑体"/>
          <w:b/>
          <w:sz w:val="32"/>
          <w:szCs w:val="32"/>
        </w:rPr>
      </w:pPr>
      <w:r w:rsidRPr="00E548E8">
        <w:rPr>
          <w:rFonts w:ascii="黑体" w:eastAsia="黑体" w:hAnsi="黑体" w:hint="eastAsia"/>
          <w:b/>
          <w:sz w:val="32"/>
          <w:szCs w:val="32"/>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491"/>
        <w:gridCol w:w="1266"/>
        <w:gridCol w:w="1620"/>
        <w:gridCol w:w="1980"/>
        <w:gridCol w:w="1098"/>
      </w:tblGrid>
      <w:tr w:rsidR="00441742" w:rsidRPr="00441742" w:rsidTr="00441742">
        <w:tc>
          <w:tcPr>
            <w:tcW w:w="1491"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491" w:type="dxa"/>
          </w:tcPr>
          <w:p w:rsidR="00441742" w:rsidRPr="00441742" w:rsidRDefault="00441742" w:rsidP="00441742">
            <w:pPr>
              <w:spacing w:before="100" w:beforeAutospacing="1" w:after="100" w:afterAutospacing="1" w:line="560" w:lineRule="exact"/>
              <w:jc w:val="center"/>
              <w:rPr>
                <w:rFonts w:ascii="仿宋_GB2312" w:eastAsia="仿宋_GB2312" w:hAnsi="宋体" w:cs="宋体"/>
                <w:b/>
                <w:spacing w:val="-20"/>
                <w:sz w:val="32"/>
                <w:szCs w:val="32"/>
              </w:rPr>
            </w:pPr>
            <w:r w:rsidRPr="00441742">
              <w:rPr>
                <w:rFonts w:ascii="仿宋_GB2312" w:eastAsia="仿宋_GB2312" w:hAnsi="宋体" w:cs="宋体" w:hint="eastAsia"/>
                <w:b/>
                <w:spacing w:val="-20"/>
                <w:sz w:val="32"/>
                <w:szCs w:val="32"/>
              </w:rPr>
              <w:t>姓名</w:t>
            </w:r>
          </w:p>
        </w:tc>
        <w:tc>
          <w:tcPr>
            <w:tcW w:w="1266" w:type="dxa"/>
          </w:tcPr>
          <w:p w:rsidR="00441742" w:rsidRPr="00441742" w:rsidRDefault="00441742" w:rsidP="00441742">
            <w:pPr>
              <w:spacing w:before="100" w:beforeAutospacing="1" w:after="100" w:afterAutospacing="1" w:line="560" w:lineRule="exact"/>
              <w:jc w:val="center"/>
              <w:rPr>
                <w:rFonts w:ascii="仿宋_GB2312" w:eastAsia="仿宋_GB2312" w:hAnsi="宋体" w:cs="宋体"/>
                <w:b/>
                <w:spacing w:val="-20"/>
                <w:sz w:val="32"/>
                <w:szCs w:val="32"/>
              </w:rPr>
            </w:pPr>
            <w:r w:rsidRPr="00441742">
              <w:rPr>
                <w:rFonts w:ascii="仿宋_GB2312" w:eastAsia="仿宋_GB2312" w:hAnsi="宋体" w:cs="宋体" w:hint="eastAsia"/>
                <w:b/>
                <w:spacing w:val="-20"/>
                <w:sz w:val="32"/>
                <w:szCs w:val="32"/>
              </w:rPr>
              <w:t>职务</w:t>
            </w:r>
          </w:p>
        </w:tc>
        <w:tc>
          <w:tcPr>
            <w:tcW w:w="1620" w:type="dxa"/>
          </w:tcPr>
          <w:p w:rsidR="00441742" w:rsidRPr="00441742" w:rsidRDefault="00441742" w:rsidP="00441742">
            <w:pPr>
              <w:spacing w:before="100" w:beforeAutospacing="1" w:after="100" w:afterAutospacing="1" w:line="560" w:lineRule="exact"/>
              <w:jc w:val="center"/>
              <w:rPr>
                <w:rFonts w:ascii="仿宋_GB2312" w:eastAsia="仿宋_GB2312" w:hAnsi="宋体" w:cs="宋体"/>
                <w:b/>
                <w:spacing w:val="-20"/>
                <w:sz w:val="32"/>
                <w:szCs w:val="32"/>
              </w:rPr>
            </w:pPr>
            <w:r w:rsidRPr="00441742">
              <w:rPr>
                <w:rFonts w:ascii="仿宋_GB2312" w:eastAsia="仿宋_GB2312" w:hAnsi="宋体" w:cs="宋体" w:hint="eastAsia"/>
                <w:b/>
                <w:spacing w:val="-20"/>
                <w:sz w:val="32"/>
                <w:szCs w:val="32"/>
              </w:rPr>
              <w:t>办公电话</w:t>
            </w:r>
          </w:p>
        </w:tc>
        <w:tc>
          <w:tcPr>
            <w:tcW w:w="1980" w:type="dxa"/>
          </w:tcPr>
          <w:p w:rsidR="00441742" w:rsidRPr="00441742" w:rsidRDefault="00441742" w:rsidP="00441742">
            <w:pPr>
              <w:spacing w:before="100" w:beforeAutospacing="1" w:after="100" w:afterAutospacing="1" w:line="560" w:lineRule="exact"/>
              <w:jc w:val="center"/>
              <w:rPr>
                <w:rFonts w:ascii="仿宋_GB2312" w:eastAsia="仿宋_GB2312" w:hAnsi="宋体" w:cs="宋体"/>
                <w:b/>
                <w:spacing w:val="-20"/>
                <w:sz w:val="32"/>
                <w:szCs w:val="32"/>
              </w:rPr>
            </w:pPr>
            <w:r w:rsidRPr="00441742">
              <w:rPr>
                <w:rFonts w:ascii="仿宋_GB2312" w:eastAsia="仿宋_GB2312" w:hAnsi="宋体" w:cs="宋体" w:hint="eastAsia"/>
                <w:b/>
                <w:spacing w:val="-20"/>
                <w:sz w:val="32"/>
                <w:szCs w:val="32"/>
              </w:rPr>
              <w:t>手机号码</w:t>
            </w:r>
          </w:p>
        </w:tc>
        <w:tc>
          <w:tcPr>
            <w:tcW w:w="1098" w:type="dxa"/>
          </w:tcPr>
          <w:p w:rsidR="00441742" w:rsidRPr="00441742" w:rsidRDefault="00441742" w:rsidP="00441742">
            <w:pPr>
              <w:spacing w:before="100" w:beforeAutospacing="1" w:after="100" w:afterAutospacing="1" w:line="560" w:lineRule="exact"/>
              <w:jc w:val="center"/>
              <w:rPr>
                <w:rFonts w:ascii="仿宋_GB2312" w:eastAsia="仿宋_GB2312" w:hAnsi="宋体" w:cs="宋体"/>
                <w:b/>
                <w:spacing w:val="-20"/>
                <w:sz w:val="32"/>
                <w:szCs w:val="32"/>
              </w:rPr>
            </w:pPr>
            <w:r w:rsidRPr="00441742">
              <w:rPr>
                <w:rFonts w:ascii="仿宋_GB2312" w:eastAsia="仿宋_GB2312" w:hAnsi="宋体" w:cs="宋体" w:hint="eastAsia"/>
                <w:b/>
                <w:spacing w:val="-20"/>
                <w:sz w:val="32"/>
                <w:szCs w:val="32"/>
              </w:rPr>
              <w:t>备注</w:t>
            </w:r>
          </w:p>
        </w:tc>
      </w:tr>
      <w:tr w:rsidR="00441742" w:rsidRPr="00441742" w:rsidTr="00441742">
        <w:tc>
          <w:tcPr>
            <w:tcW w:w="1491" w:type="dxa"/>
          </w:tcPr>
          <w:p w:rsidR="00441742" w:rsidRPr="00441742" w:rsidRDefault="00441742" w:rsidP="00441742">
            <w:pPr>
              <w:spacing w:before="100" w:beforeAutospacing="1" w:after="100" w:afterAutospacing="1" w:line="560" w:lineRule="exact"/>
              <w:jc w:val="center"/>
              <w:rPr>
                <w:rFonts w:ascii="仿宋_GB2312" w:eastAsia="仿宋_GB2312" w:hAnsi="宋体" w:cs="宋体"/>
                <w:spacing w:val="-20"/>
                <w:sz w:val="32"/>
                <w:szCs w:val="32"/>
              </w:rPr>
            </w:pPr>
            <w:r w:rsidRPr="00441742">
              <w:rPr>
                <w:rFonts w:ascii="仿宋_GB2312" w:eastAsia="仿宋_GB2312" w:hAnsi="宋体" w:cs="宋体" w:hint="eastAsia"/>
                <w:spacing w:val="-20"/>
                <w:sz w:val="32"/>
                <w:szCs w:val="32"/>
              </w:rPr>
              <w:t>分管领导</w:t>
            </w:r>
          </w:p>
        </w:tc>
        <w:tc>
          <w:tcPr>
            <w:tcW w:w="1491"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266"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620"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980"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098"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r>
      <w:tr w:rsidR="00441742" w:rsidRPr="00441742" w:rsidTr="00441742">
        <w:tc>
          <w:tcPr>
            <w:tcW w:w="1491" w:type="dxa"/>
          </w:tcPr>
          <w:p w:rsidR="00441742" w:rsidRPr="00441742" w:rsidRDefault="00441742" w:rsidP="00441742">
            <w:pPr>
              <w:spacing w:before="100" w:beforeAutospacing="1" w:after="100" w:afterAutospacing="1" w:line="560" w:lineRule="exact"/>
              <w:jc w:val="center"/>
              <w:rPr>
                <w:rFonts w:ascii="仿宋_GB2312" w:eastAsia="仿宋_GB2312" w:hAnsi="宋体" w:cs="宋体"/>
                <w:sz w:val="32"/>
                <w:szCs w:val="32"/>
              </w:rPr>
            </w:pPr>
            <w:r w:rsidRPr="00441742">
              <w:rPr>
                <w:rFonts w:ascii="仿宋_GB2312" w:eastAsia="仿宋_GB2312" w:hAnsi="宋体" w:cs="宋体" w:hint="eastAsia"/>
                <w:sz w:val="32"/>
                <w:szCs w:val="32"/>
              </w:rPr>
              <w:t>联络员</w:t>
            </w:r>
          </w:p>
        </w:tc>
        <w:tc>
          <w:tcPr>
            <w:tcW w:w="1491"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266"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620"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980"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098"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r>
      <w:tr w:rsidR="00441742" w:rsidRPr="00441742" w:rsidTr="00441742">
        <w:tc>
          <w:tcPr>
            <w:tcW w:w="1491"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491"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266"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620"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980"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c>
          <w:tcPr>
            <w:tcW w:w="1098" w:type="dxa"/>
          </w:tcPr>
          <w:p w:rsidR="00441742" w:rsidRPr="00441742" w:rsidRDefault="00441742" w:rsidP="00441742">
            <w:pPr>
              <w:spacing w:before="100" w:beforeAutospacing="1" w:after="100" w:afterAutospacing="1" w:line="560" w:lineRule="exact"/>
              <w:rPr>
                <w:rFonts w:ascii="仿宋_GB2312" w:eastAsia="仿宋_GB2312" w:hAnsi="宋体" w:cs="宋体"/>
                <w:sz w:val="32"/>
                <w:szCs w:val="32"/>
              </w:rPr>
            </w:pPr>
          </w:p>
        </w:tc>
      </w:tr>
    </w:tbl>
    <w:p w:rsidR="00441742" w:rsidRPr="00E548E8" w:rsidRDefault="00441742" w:rsidP="00441742">
      <w:pPr>
        <w:spacing w:line="560" w:lineRule="exact"/>
        <w:ind w:left="636"/>
        <w:rPr>
          <w:rFonts w:ascii="仿宋_GB2312" w:eastAsia="仿宋_GB2312"/>
          <w:sz w:val="32"/>
          <w:szCs w:val="32"/>
        </w:rPr>
      </w:pPr>
    </w:p>
    <w:p w:rsidR="00441742" w:rsidRPr="006D7B66" w:rsidRDefault="00441742" w:rsidP="00441742">
      <w:pPr>
        <w:spacing w:line="560" w:lineRule="exact"/>
        <w:ind w:left="636"/>
        <w:rPr>
          <w:rFonts w:ascii="仿宋_GB2312" w:eastAsia="仿宋_GB2312"/>
          <w:sz w:val="32"/>
          <w:szCs w:val="32"/>
        </w:rPr>
      </w:pPr>
    </w:p>
    <w:p w:rsidR="00441742" w:rsidRPr="005F682A" w:rsidRDefault="00441742" w:rsidP="00A42789">
      <w:pPr>
        <w:widowControl/>
        <w:spacing w:line="560" w:lineRule="exact"/>
        <w:jc w:val="left"/>
        <w:rPr>
          <w:rFonts w:ascii="仿宋_GB2312" w:eastAsia="仿宋_GB2312" w:hAnsi="宋体" w:cs="宋体"/>
          <w:color w:val="000000"/>
          <w:kern w:val="0"/>
          <w:sz w:val="28"/>
          <w:szCs w:val="28"/>
          <w:u w:val="single"/>
        </w:rPr>
      </w:pPr>
    </w:p>
    <w:sectPr w:rsidR="00441742" w:rsidRPr="005F682A" w:rsidSect="003B7B7B">
      <w:headerReference w:type="default" r:id="rId6"/>
      <w:footerReference w:type="even" r:id="rId7"/>
      <w:footerReference w:type="default" r:id="rId8"/>
      <w:pgSz w:w="11906" w:h="16838"/>
      <w:pgMar w:top="2098" w:right="1418"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A20" w:rsidRDefault="00814A20" w:rsidP="00A222C6">
      <w:r>
        <w:separator/>
      </w:r>
    </w:p>
  </w:endnote>
  <w:endnote w:type="continuationSeparator" w:id="0">
    <w:p w:rsidR="00814A20" w:rsidRDefault="00814A20" w:rsidP="00A2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947A54"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end"/>
    </w:r>
  </w:p>
  <w:p w:rsidR="004A5302" w:rsidRDefault="004A53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947A54"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separate"/>
    </w:r>
    <w:r w:rsidR="00441742">
      <w:rPr>
        <w:rStyle w:val="a9"/>
        <w:noProof/>
      </w:rPr>
      <w:t>6</w:t>
    </w:r>
    <w:r>
      <w:rPr>
        <w:rStyle w:val="a9"/>
      </w:rPr>
      <w:fldChar w:fldCharType="end"/>
    </w:r>
  </w:p>
  <w:p w:rsidR="004A5302" w:rsidRDefault="004A53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A20" w:rsidRDefault="00814A20" w:rsidP="00A222C6">
      <w:r>
        <w:separator/>
      </w:r>
    </w:p>
  </w:footnote>
  <w:footnote w:type="continuationSeparator" w:id="0">
    <w:p w:rsidR="00814A20" w:rsidRDefault="00814A20" w:rsidP="00A2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4A5302" w:rsidP="00C73EE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2C6"/>
    <w:rsid w:val="000175A5"/>
    <w:rsid w:val="00026044"/>
    <w:rsid w:val="0003766C"/>
    <w:rsid w:val="000A1237"/>
    <w:rsid w:val="0013222F"/>
    <w:rsid w:val="00137348"/>
    <w:rsid w:val="00144F78"/>
    <w:rsid w:val="001B4F49"/>
    <w:rsid w:val="001D776E"/>
    <w:rsid w:val="001E193A"/>
    <w:rsid w:val="00246F2A"/>
    <w:rsid w:val="00251FEC"/>
    <w:rsid w:val="00325073"/>
    <w:rsid w:val="00347D0C"/>
    <w:rsid w:val="00364DC1"/>
    <w:rsid w:val="00376A3D"/>
    <w:rsid w:val="003B7B7B"/>
    <w:rsid w:val="003C36FB"/>
    <w:rsid w:val="003E0186"/>
    <w:rsid w:val="003E3E43"/>
    <w:rsid w:val="003F7C21"/>
    <w:rsid w:val="00411763"/>
    <w:rsid w:val="004178BB"/>
    <w:rsid w:val="00441742"/>
    <w:rsid w:val="00492425"/>
    <w:rsid w:val="0049546D"/>
    <w:rsid w:val="004A5302"/>
    <w:rsid w:val="0057364B"/>
    <w:rsid w:val="005A063F"/>
    <w:rsid w:val="005F682A"/>
    <w:rsid w:val="00603A15"/>
    <w:rsid w:val="006470BF"/>
    <w:rsid w:val="00676D9F"/>
    <w:rsid w:val="00686A7D"/>
    <w:rsid w:val="00712ADF"/>
    <w:rsid w:val="00717B64"/>
    <w:rsid w:val="00775099"/>
    <w:rsid w:val="00790C26"/>
    <w:rsid w:val="007C15FD"/>
    <w:rsid w:val="007D322C"/>
    <w:rsid w:val="00814A20"/>
    <w:rsid w:val="00824A0D"/>
    <w:rsid w:val="00825642"/>
    <w:rsid w:val="0084746A"/>
    <w:rsid w:val="00872A4B"/>
    <w:rsid w:val="008822FE"/>
    <w:rsid w:val="008F4A43"/>
    <w:rsid w:val="00923AB9"/>
    <w:rsid w:val="00947A54"/>
    <w:rsid w:val="009977AB"/>
    <w:rsid w:val="009C6FBE"/>
    <w:rsid w:val="009D0F49"/>
    <w:rsid w:val="009E741D"/>
    <w:rsid w:val="009F013C"/>
    <w:rsid w:val="00A05752"/>
    <w:rsid w:val="00A12BB6"/>
    <w:rsid w:val="00A222C6"/>
    <w:rsid w:val="00A42789"/>
    <w:rsid w:val="00A84D3C"/>
    <w:rsid w:val="00AD2FAA"/>
    <w:rsid w:val="00AD64E2"/>
    <w:rsid w:val="00B22DD5"/>
    <w:rsid w:val="00BE0BAC"/>
    <w:rsid w:val="00C67BAD"/>
    <w:rsid w:val="00C73EEB"/>
    <w:rsid w:val="00C80CC1"/>
    <w:rsid w:val="00CD2A47"/>
    <w:rsid w:val="00D06A24"/>
    <w:rsid w:val="00D12F27"/>
    <w:rsid w:val="00D14411"/>
    <w:rsid w:val="00D33D1B"/>
    <w:rsid w:val="00D86F94"/>
    <w:rsid w:val="00DA203A"/>
    <w:rsid w:val="00DA5C7D"/>
    <w:rsid w:val="00DC261F"/>
    <w:rsid w:val="00DD0AF1"/>
    <w:rsid w:val="00E51F2B"/>
    <w:rsid w:val="00E92D30"/>
    <w:rsid w:val="00EC204A"/>
    <w:rsid w:val="00ED0021"/>
    <w:rsid w:val="00F508D8"/>
    <w:rsid w:val="00FA1B18"/>
    <w:rsid w:val="00FD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D8FC4"/>
  <w15:docId w15:val="{5C92A326-27E7-4BE9-AF18-65050C74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49"/>
    <w:pPr>
      <w:widowControl w:val="0"/>
      <w:jc w:val="both"/>
    </w:pPr>
    <w:rPr>
      <w:kern w:val="2"/>
      <w:sz w:val="21"/>
      <w:szCs w:val="22"/>
    </w:rPr>
  </w:style>
  <w:style w:type="paragraph" w:styleId="4">
    <w:name w:val="heading 4"/>
    <w:basedOn w:val="a"/>
    <w:link w:val="40"/>
    <w:uiPriority w:val="99"/>
    <w:qFormat/>
    <w:rsid w:val="003C36FB"/>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uiPriority w:val="99"/>
    <w:locked/>
    <w:rsid w:val="003C36FB"/>
    <w:rPr>
      <w:rFonts w:ascii="宋体" w:eastAsia="宋体" w:hAnsi="宋体" w:cs="宋体"/>
      <w:b/>
      <w:bCs/>
      <w:kern w:val="0"/>
      <w:sz w:val="24"/>
      <w:szCs w:val="24"/>
    </w:rPr>
  </w:style>
  <w:style w:type="paragraph" w:styleId="a3">
    <w:name w:val="header"/>
    <w:basedOn w:val="a"/>
    <w:link w:val="a4"/>
    <w:uiPriority w:val="99"/>
    <w:semiHidden/>
    <w:rsid w:val="00A222C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A222C6"/>
    <w:rPr>
      <w:rFonts w:cs="Times New Roman"/>
      <w:sz w:val="18"/>
      <w:szCs w:val="18"/>
    </w:rPr>
  </w:style>
  <w:style w:type="paragraph" w:styleId="a5">
    <w:name w:val="footer"/>
    <w:basedOn w:val="a"/>
    <w:link w:val="a6"/>
    <w:uiPriority w:val="99"/>
    <w:semiHidden/>
    <w:rsid w:val="00A222C6"/>
    <w:pPr>
      <w:tabs>
        <w:tab w:val="center" w:pos="4153"/>
        <w:tab w:val="right" w:pos="8306"/>
      </w:tabs>
      <w:snapToGrid w:val="0"/>
      <w:jc w:val="left"/>
    </w:pPr>
    <w:rPr>
      <w:sz w:val="18"/>
      <w:szCs w:val="18"/>
    </w:rPr>
  </w:style>
  <w:style w:type="character" w:customStyle="1" w:styleId="a6">
    <w:name w:val="页脚 字符"/>
    <w:link w:val="a5"/>
    <w:uiPriority w:val="99"/>
    <w:semiHidden/>
    <w:locked/>
    <w:rsid w:val="00A222C6"/>
    <w:rPr>
      <w:rFonts w:cs="Times New Roman"/>
      <w:sz w:val="18"/>
      <w:szCs w:val="18"/>
    </w:rPr>
  </w:style>
  <w:style w:type="paragraph" w:styleId="a7">
    <w:name w:val="Normal (Web)"/>
    <w:basedOn w:val="a"/>
    <w:uiPriority w:val="99"/>
    <w:semiHidden/>
    <w:rsid w:val="00A222C6"/>
    <w:pPr>
      <w:widowControl/>
      <w:spacing w:before="100" w:beforeAutospacing="1" w:after="100" w:afterAutospacing="1"/>
      <w:jc w:val="left"/>
    </w:pPr>
    <w:rPr>
      <w:rFonts w:ascii="宋体" w:hAnsi="宋体" w:cs="宋体"/>
      <w:kern w:val="0"/>
      <w:sz w:val="24"/>
      <w:szCs w:val="24"/>
    </w:rPr>
  </w:style>
  <w:style w:type="character" w:styleId="a8">
    <w:name w:val="Hyperlink"/>
    <w:uiPriority w:val="99"/>
    <w:semiHidden/>
    <w:rsid w:val="003C36FB"/>
    <w:rPr>
      <w:rFonts w:cs="Times New Roman"/>
      <w:color w:val="0000FF"/>
      <w:u w:val="single"/>
    </w:rPr>
  </w:style>
  <w:style w:type="character" w:styleId="a9">
    <w:name w:val="page number"/>
    <w:uiPriority w:val="99"/>
    <w:rsid w:val="00872A4B"/>
    <w:rPr>
      <w:rFonts w:cs="Times New Roman"/>
    </w:rPr>
  </w:style>
  <w:style w:type="character" w:styleId="aa">
    <w:name w:val="Strong"/>
    <w:qFormat/>
    <w:locked/>
    <w:rsid w:val="00D14411"/>
    <w:rPr>
      <w:rFonts w:cs="Times New Roman"/>
      <w:b/>
      <w:bCs/>
    </w:rPr>
  </w:style>
  <w:style w:type="table" w:styleId="ab">
    <w:name w:val="Table Grid"/>
    <w:basedOn w:val="a1"/>
    <w:locked/>
    <w:rsid w:val="0044174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920691">
      <w:marLeft w:val="0"/>
      <w:marRight w:val="0"/>
      <w:marTop w:val="0"/>
      <w:marBottom w:val="0"/>
      <w:divBdr>
        <w:top w:val="none" w:sz="0" w:space="0" w:color="auto"/>
        <w:left w:val="none" w:sz="0" w:space="0" w:color="auto"/>
        <w:bottom w:val="none" w:sz="0" w:space="0" w:color="auto"/>
        <w:right w:val="none" w:sz="0" w:space="0" w:color="auto"/>
      </w:divBdr>
    </w:div>
    <w:div w:id="1279920692">
      <w:marLeft w:val="0"/>
      <w:marRight w:val="0"/>
      <w:marTop w:val="0"/>
      <w:marBottom w:val="0"/>
      <w:divBdr>
        <w:top w:val="none" w:sz="0" w:space="0" w:color="auto"/>
        <w:left w:val="none" w:sz="0" w:space="0" w:color="auto"/>
        <w:bottom w:val="none" w:sz="0" w:space="0" w:color="auto"/>
        <w:right w:val="none" w:sz="0" w:space="0" w:color="auto"/>
      </w:divBdr>
      <w:divsChild>
        <w:div w:id="127992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Pages>
  <Words>427</Words>
  <Characters>2440</Characters>
  <Application>Microsoft Office Word</Application>
  <DocSecurity>0</DocSecurity>
  <Lines>20</Lines>
  <Paragraphs>5</Paragraphs>
  <ScaleCrop>false</ScaleCrop>
  <Company>P R C</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53</cp:revision>
  <cp:lastPrinted>2018-09-17T09:21:00Z</cp:lastPrinted>
  <dcterms:created xsi:type="dcterms:W3CDTF">2018-07-30T08:44:00Z</dcterms:created>
  <dcterms:modified xsi:type="dcterms:W3CDTF">2020-12-12T11:29:00Z</dcterms:modified>
</cp:coreProperties>
</file>