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pacing w:val="-10"/>
          <w:sz w:val="36"/>
          <w:szCs w:val="36"/>
        </w:rPr>
      </w:pPr>
      <w:bookmarkStart w:id="0" w:name="_GoBack"/>
      <w:bookmarkEnd w:id="0"/>
      <w:r>
        <w:rPr>
          <w:rFonts w:hint="eastAsia" w:ascii="宋体" w:hAnsi="宋体"/>
          <w:b/>
          <w:spacing w:val="-10"/>
          <w:sz w:val="36"/>
          <w:szCs w:val="36"/>
        </w:rPr>
        <w:t>关于转发《转发国务院安委会办公室关于江苏省</w:t>
      </w:r>
      <w:r>
        <w:rPr>
          <w:rFonts w:hint="default" w:ascii="宋体" w:hAnsi="宋体"/>
          <w:b/>
          <w:spacing w:val="-10"/>
          <w:sz w:val="36"/>
          <w:szCs w:val="36"/>
          <w:lang w:val="en"/>
        </w:rPr>
        <w:t>徐州</w:t>
      </w:r>
      <w:r>
        <w:rPr>
          <w:rFonts w:hint="eastAsia" w:ascii="宋体" w:hAnsi="宋体"/>
          <w:b/>
          <w:spacing w:val="-10"/>
          <w:sz w:val="36"/>
          <w:szCs w:val="36"/>
        </w:rPr>
        <w:t>市“12.12”重大道路交通事故情况的通报》的通知</w:t>
      </w:r>
    </w:p>
    <w:p>
      <w:pPr>
        <w:spacing w:line="520" w:lineRule="exact"/>
        <w:rPr>
          <w:rFonts w:hint="eastAsia" w:eastAsia="仿宋_GB2312"/>
          <w:spacing w:val="-10"/>
          <w:sz w:val="32"/>
          <w:szCs w:val="32"/>
        </w:rPr>
      </w:pPr>
    </w:p>
    <w:p>
      <w:pPr>
        <w:spacing w:line="520" w:lineRule="exact"/>
        <w:rPr>
          <w:rFonts w:hint="eastAsia" w:eastAsia="仿宋_GB2312"/>
          <w:sz w:val="32"/>
        </w:rPr>
      </w:pPr>
      <w:r>
        <w:rPr>
          <w:rFonts w:hint="eastAsia" w:eastAsia="仿宋_GB2312"/>
          <w:sz w:val="32"/>
          <w:szCs w:val="32"/>
        </w:rPr>
        <w:t>各镇、乡人民政府，有关委、办、局，集团公司，驻蓟单位</w:t>
      </w:r>
      <w:r>
        <w:rPr>
          <w:rFonts w:hint="eastAsia" w:eastAsia="仿宋_GB2312"/>
          <w:sz w:val="32"/>
        </w:rPr>
        <w:t>：</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sz w:val="32"/>
          <w:szCs w:val="32"/>
        </w:rPr>
        <w:t>近日，天津市安委会办公室转发了《国务院安委会办公室关于江苏省徐州市“12.12”重大道路交通事故情况的通报》，</w:t>
      </w:r>
      <w:r>
        <w:rPr>
          <w:rFonts w:hint="eastAsia" w:ascii="仿宋_GB2312" w:hAnsi="宋体" w:eastAsia="仿宋_GB2312" w:cs="宋体"/>
          <w:kern w:val="0"/>
          <w:sz w:val="32"/>
          <w:szCs w:val="32"/>
        </w:rPr>
        <w:t>现将该文件转发给你们，望结合实际，举一反三。公安、交通、教育和各镇乡等责任单位，对照各自职责，进一步强化校车安全监管，切实消除各类安全隐患，确保我县校车安全万无一失。</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附件：转发国务院安委会办公室关于江苏省徐州市“12.12”重大道路交通事故情况的通报</w:t>
      </w:r>
    </w:p>
    <w:p>
      <w:pPr>
        <w:widowControl/>
        <w:ind w:firstLine="5440" w:firstLineChars="1700"/>
        <w:jc w:val="left"/>
        <w:rPr>
          <w:rFonts w:hint="eastAsia" w:ascii="仿宋_GB2312" w:hAnsi="宋体" w:eastAsia="仿宋_GB2312" w:cs="宋体"/>
          <w:kern w:val="0"/>
          <w:sz w:val="32"/>
          <w:szCs w:val="32"/>
        </w:rPr>
      </w:pPr>
    </w:p>
    <w:p>
      <w:pPr>
        <w:widowControl/>
        <w:ind w:firstLine="5440" w:firstLineChars="1700"/>
        <w:jc w:val="left"/>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一二年一月九日</w:t>
      </w:r>
    </w:p>
    <w:p>
      <w:pPr>
        <w:widowControl/>
        <w:ind w:firstLine="5440" w:firstLineChars="1700"/>
        <w:jc w:val="left"/>
        <w:rPr>
          <w:rFonts w:hint="eastAsia" w:ascii="仿宋_GB2312" w:hAnsi="宋体" w:eastAsia="仿宋_GB2312" w:cs="宋体"/>
          <w:kern w:val="0"/>
          <w:sz w:val="32"/>
          <w:szCs w:val="32"/>
        </w:rPr>
      </w:pPr>
    </w:p>
    <w:p>
      <w:pPr>
        <w:spacing w:line="520" w:lineRule="exact"/>
        <w:rPr>
          <w:rFonts w:ascii="宋体" w:hAnsi="宋体" w:cs="宋体"/>
          <w:vanish/>
          <w:kern w:val="0"/>
          <w:sz w:val="15"/>
          <w:szCs w:val="15"/>
        </w:rPr>
      </w:pPr>
      <w:r>
        <w:rPr>
          <w:rFonts w:hint="eastAsia" w:ascii="宋体" w:hAnsi="宋体"/>
          <w:b/>
          <w:sz w:val="32"/>
          <w:szCs w:val="32"/>
        </w:rPr>
        <w:t>附件</w:t>
      </w:r>
    </w:p>
    <w:tbl>
      <w:tblPr>
        <w:tblStyle w:val="5"/>
        <w:tblW w:w="11400" w:type="dxa"/>
        <w:jc w:val="center"/>
        <w:tblCellSpacing w:w="0" w:type="dxa"/>
        <w:shd w:val="clear" w:color="auto" w:fill="FFFFFF"/>
        <w:tblLayout w:type="autofit"/>
        <w:tblCellMar>
          <w:top w:w="75" w:type="dxa"/>
          <w:left w:w="75" w:type="dxa"/>
          <w:bottom w:w="75" w:type="dxa"/>
          <w:right w:w="75" w:type="dxa"/>
        </w:tblCellMar>
      </w:tblPr>
      <w:tblGrid>
        <w:gridCol w:w="624"/>
        <w:gridCol w:w="10151"/>
        <w:gridCol w:w="625"/>
      </w:tblGrid>
      <w:tr>
        <w:tblPrEx>
          <w:shd w:val="clear" w:color="auto" w:fill="FFFFFF"/>
          <w:tblCellMar>
            <w:top w:w="75" w:type="dxa"/>
            <w:left w:w="75" w:type="dxa"/>
            <w:bottom w:w="75" w:type="dxa"/>
            <w:right w:w="75" w:type="dxa"/>
          </w:tblCellMar>
        </w:tblPrEx>
        <w:trPr>
          <w:wBefore w:w="0" w:type="auto"/>
          <w:tblCellSpacing w:w="0" w:type="dxa"/>
          <w:jc w:val="center"/>
        </w:trPr>
        <w:tc>
          <w:tcPr>
            <w:tcW w:w="600" w:type="dxa"/>
            <w:shd w:val="clear" w:color="auto" w:fill="FFFFFF"/>
            <w:noWrap w:val="0"/>
            <w:vAlign w:val="top"/>
          </w:tcPr>
          <w:p>
            <w:pPr>
              <w:widowControl/>
              <w:jc w:val="center"/>
              <w:rPr>
                <w:rFonts w:ascii="宋体" w:hAnsi="宋体" w:cs="宋体"/>
                <w:kern w:val="0"/>
                <w:sz w:val="15"/>
                <w:szCs w:val="15"/>
              </w:rPr>
            </w:pPr>
          </w:p>
        </w:tc>
        <w:tc>
          <w:tcPr>
            <w:tcW w:w="9750" w:type="dxa"/>
            <w:shd w:val="clear" w:color="auto" w:fill="FFFFFF"/>
            <w:noWrap w:val="0"/>
            <w:vAlign w:val="top"/>
          </w:tcPr>
          <w:p>
            <w:pPr>
              <w:widowControl/>
              <w:jc w:val="center"/>
              <w:rPr>
                <w:rFonts w:ascii="΄֐ˎ" w:hAnsi="΄֐ˎ" w:cs="宋体"/>
                <w:kern w:val="0"/>
                <w:sz w:val="28"/>
                <w:szCs w:val="28"/>
              </w:rPr>
            </w:pPr>
            <w:r>
              <w:rPr>
                <w:rFonts w:ascii="΄֐ˎ" w:hAnsi="΄֐ˎ" w:cs="宋体"/>
                <w:kern w:val="0"/>
                <w:sz w:val="28"/>
                <w:szCs w:val="28"/>
              </w:rPr>
              <w:t>转发国务院安委会办公室关于江苏省徐州市“12·12”重大道路交通事故情况的通报</w:t>
            </w:r>
          </w:p>
        </w:tc>
        <w:tc>
          <w:tcPr>
            <w:tcW w:w="600" w:type="dxa"/>
            <w:shd w:val="clear" w:color="auto" w:fill="FFFFFF"/>
            <w:noWrap w:val="0"/>
            <w:vAlign w:val="top"/>
          </w:tcPr>
          <w:p>
            <w:pPr>
              <w:widowControl/>
              <w:jc w:val="center"/>
              <w:rPr>
                <w:rFonts w:ascii="宋体" w:hAnsi="宋体" w:cs="宋体"/>
                <w:kern w:val="0"/>
                <w:sz w:val="15"/>
                <w:szCs w:val="15"/>
              </w:rPr>
            </w:pPr>
            <w:r>
              <w:rPr>
                <w:rFonts w:ascii="宋体" w:hAnsi="宋体" w:cs="宋体"/>
                <w:kern w:val="0"/>
                <w:sz w:val="15"/>
                <w:szCs w:val="15"/>
              </w:rPr>
              <w:t> </w:t>
            </w:r>
          </w:p>
        </w:tc>
      </w:tr>
    </w:tbl>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p>
      <w:pPr>
        <w:spacing w:line="460" w:lineRule="exact"/>
        <w:rPr>
          <w:rFonts w:eastAsia="仿宋_GB2312"/>
          <w:sz w:val="32"/>
          <w:szCs w:val="32"/>
          <w:u w:val="thick"/>
        </w:rPr>
      </w:pPr>
    </w:p>
    <w:tbl>
      <w:tblPr>
        <w:tblStyle w:val="5"/>
        <w:tblW w:w="11400" w:type="dxa"/>
        <w:jc w:val="center"/>
        <w:tblCellSpacing w:w="0" w:type="dxa"/>
        <w:shd w:val="clear" w:color="auto" w:fill="FFFFFF"/>
        <w:tblLayout w:type="autofit"/>
        <w:tblCellMar>
          <w:top w:w="75" w:type="dxa"/>
          <w:left w:w="75" w:type="dxa"/>
          <w:bottom w:w="75" w:type="dxa"/>
          <w:right w:w="75" w:type="dxa"/>
        </w:tblCellMar>
      </w:tblPr>
      <w:tblGrid>
        <w:gridCol w:w="624"/>
        <w:gridCol w:w="10151"/>
        <w:gridCol w:w="625"/>
      </w:tblGrid>
      <w:tr>
        <w:tblPrEx>
          <w:shd w:val="clear" w:color="auto" w:fill="FFFFFF"/>
          <w:tblCellMar>
            <w:top w:w="75" w:type="dxa"/>
            <w:left w:w="75" w:type="dxa"/>
            <w:bottom w:w="75" w:type="dxa"/>
            <w:right w:w="75" w:type="dxa"/>
          </w:tblCellMar>
        </w:tblPrEx>
        <w:trPr>
          <w:wBefore w:w="0" w:type="auto"/>
          <w:tblCellSpacing w:w="0" w:type="dxa"/>
          <w:jc w:val="center"/>
        </w:trPr>
        <w:tc>
          <w:tcPr>
            <w:tcW w:w="624" w:type="dxa"/>
            <w:shd w:val="clear" w:color="auto" w:fill="FFFFFF"/>
            <w:noWrap w:val="0"/>
            <w:vAlign w:val="top"/>
          </w:tcPr>
          <w:p>
            <w:pPr>
              <w:widowControl/>
              <w:jc w:val="left"/>
              <w:rPr>
                <w:rFonts w:ascii="宋体" w:hAnsi="宋体" w:cs="宋体"/>
                <w:kern w:val="0"/>
                <w:sz w:val="15"/>
                <w:szCs w:val="15"/>
              </w:rPr>
            </w:pPr>
          </w:p>
        </w:tc>
        <w:tc>
          <w:tcPr>
            <w:tcW w:w="10151" w:type="dxa"/>
            <w:shd w:val="clear" w:color="auto" w:fill="FFFFFF"/>
            <w:noWrap w:val="0"/>
            <w:vAlign w:val="top"/>
          </w:tcPr>
          <w:p>
            <w:pPr>
              <w:widowControl/>
              <w:spacing w:line="540" w:lineRule="exact"/>
              <w:jc w:val="left"/>
              <w:rPr>
                <w:rFonts w:ascii="Verdana" w:hAnsi="Verdana" w:cs="宋体"/>
                <w:color w:val="333333"/>
                <w:kern w:val="0"/>
                <w:sz w:val="18"/>
                <w:szCs w:val="18"/>
              </w:rPr>
            </w:pPr>
            <w:r>
              <w:rPr>
                <w:rFonts w:hint="eastAsia" w:ascii="仿宋_GB2312" w:hAnsi="Verdana" w:eastAsia="仿宋_GB2312" w:cs="宋体"/>
                <w:color w:val="333333"/>
                <w:kern w:val="0"/>
                <w:sz w:val="32"/>
                <w:szCs w:val="32"/>
              </w:rPr>
              <w:t>各区县人民政府，各相关委局：</w:t>
            </w:r>
          </w:p>
          <w:p>
            <w:pPr>
              <w:widowControl/>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现将《国务院安委会办公室关于江苏省徐州市“12.12”重大道路交通事故情况的通报》（安委办〔2011〕49号，以下简称《通报》）转发给你们，请按照《通报》的要求，结合各自实际，深刻吸取事故教训，强化校车安全监管，进一步深化道路客运隐患专项行动，加大校车安全检查力度，督促客运企业落实安全生产主体责任，严厉打击校车驾驶员无证驾驶、驾驶证与准驾车型不符及校车超速、超载等重点违法行为，消除安全隐患，有效防范和遏制类似事故发生。</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 系 人:王  洁</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联系电话:28208931</w:t>
            </w:r>
          </w:p>
          <w:p>
            <w:pPr>
              <w:widowControl/>
              <w:spacing w:line="540" w:lineRule="exact"/>
              <w:ind w:firstLine="640" w:firstLineChars="200"/>
              <w:jc w:val="left"/>
              <w:rPr>
                <w:rFonts w:hint="eastAsia" w:ascii="仿宋_GB2312" w:hAnsi="宋体" w:eastAsia="仿宋_GB2312" w:cs="宋体"/>
                <w:kern w:val="0"/>
                <w:sz w:val="32"/>
                <w:szCs w:val="32"/>
              </w:rPr>
            </w:pPr>
          </w:p>
          <w:p>
            <w:pPr>
              <w:widowControl/>
              <w:spacing w:line="540" w:lineRule="exact"/>
              <w:ind w:firstLine="480" w:firstLineChars="200"/>
              <w:jc w:val="left"/>
              <w:rPr>
                <w:rFonts w:hint="eastAsia" w:ascii="仿宋_GB2312" w:hAnsi="宋体" w:eastAsia="仿宋_GB2312" w:cs="宋体"/>
                <w:kern w:val="0"/>
                <w:sz w:val="32"/>
                <w:szCs w:val="32"/>
              </w:rPr>
            </w:pPr>
            <w:r>
              <w:rPr>
                <w:rFonts w:ascii="宋体" w:hAnsi="宋体" w:cs="宋体"/>
                <w:kern w:val="0"/>
                <w:sz w:val="24"/>
              </w:rPr>
              <w:t> </w:t>
            </w:r>
          </w:p>
          <w:p>
            <w:pPr>
              <w:widowControl/>
              <w:spacing w:line="540" w:lineRule="exact"/>
              <w:ind w:right="1680" w:rightChars="800" w:firstLine="640" w:firstLineChars="200"/>
              <w:jc w:val="righ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一二年一月六日</w:t>
            </w:r>
          </w:p>
          <w:p>
            <w:pPr>
              <w:widowControl/>
              <w:spacing w:line="540" w:lineRule="exact"/>
              <w:ind w:right="1680" w:rightChars="800" w:firstLine="640" w:firstLineChars="200"/>
              <w:jc w:val="right"/>
              <w:rPr>
                <w:rFonts w:ascii="仿宋_GB2312" w:hAnsi="仿宋_GB2312" w:eastAsia="仿宋_GB2312" w:cs="仿宋_GB2312"/>
                <w:color w:val="333333"/>
                <w:kern w:val="0"/>
                <w:sz w:val="32"/>
                <w:szCs w:val="32"/>
              </w:rPr>
            </w:pPr>
          </w:p>
          <w:p>
            <w:pPr>
              <w:widowControl/>
              <w:spacing w:line="540" w:lineRule="exact"/>
              <w:ind w:right="1680" w:rightChars="800" w:firstLine="640" w:firstLineChars="200"/>
              <w:jc w:val="right"/>
              <w:rPr>
                <w:rFonts w:ascii="仿宋_GB2312" w:hAnsi="仿宋_GB2312" w:eastAsia="仿宋_GB2312" w:cs="仿宋_GB2312"/>
                <w:color w:val="333333"/>
                <w:kern w:val="0"/>
                <w:sz w:val="32"/>
                <w:szCs w:val="32"/>
              </w:rPr>
            </w:pPr>
          </w:p>
          <w:p>
            <w:pPr>
              <w:widowControl/>
              <w:spacing w:line="540" w:lineRule="exact"/>
              <w:ind w:right="1680" w:rightChars="800" w:firstLine="640" w:firstLineChars="200"/>
              <w:jc w:val="right"/>
              <w:rPr>
                <w:rFonts w:ascii="仿宋_GB2312" w:hAnsi="仿宋_GB2312" w:eastAsia="仿宋_GB2312" w:cs="仿宋_GB2312"/>
                <w:color w:val="333333"/>
                <w:kern w:val="0"/>
                <w:sz w:val="32"/>
                <w:szCs w:val="32"/>
              </w:rPr>
            </w:pPr>
          </w:p>
          <w:p>
            <w:pPr>
              <w:widowControl/>
              <w:spacing w:line="540" w:lineRule="exact"/>
              <w:ind w:right="1680" w:rightChars="800" w:firstLine="640" w:firstLineChars="200"/>
              <w:jc w:val="right"/>
              <w:rPr>
                <w:rFonts w:ascii="仿宋_GB2312" w:hAnsi="仿宋_GB2312" w:eastAsia="仿宋_GB2312" w:cs="仿宋_GB2312"/>
                <w:color w:val="333333"/>
                <w:kern w:val="0"/>
                <w:sz w:val="32"/>
                <w:szCs w:val="32"/>
              </w:rPr>
            </w:pPr>
          </w:p>
          <w:p>
            <w:pPr>
              <w:widowControl/>
              <w:spacing w:line="540" w:lineRule="exact"/>
              <w:ind w:right="1680" w:rightChars="800" w:firstLine="640" w:firstLineChars="200"/>
              <w:jc w:val="right"/>
              <w:rPr>
                <w:rFonts w:ascii="仿宋_GB2312" w:hAnsi="仿宋_GB2312" w:eastAsia="仿宋_GB2312" w:cs="仿宋_GB2312"/>
                <w:color w:val="333333"/>
                <w:kern w:val="0"/>
                <w:sz w:val="32"/>
                <w:szCs w:val="32"/>
              </w:rPr>
            </w:pPr>
          </w:p>
          <w:p>
            <w:pPr>
              <w:widowControl/>
              <w:spacing w:line="540" w:lineRule="exact"/>
              <w:ind w:right="1680" w:rightChars="800" w:firstLine="640" w:firstLineChars="200"/>
              <w:jc w:val="right"/>
              <w:rPr>
                <w:rFonts w:hint="eastAsia" w:ascii="仿宋_GB2312" w:hAnsi="Verdana" w:eastAsia="仿宋_GB2312" w:cs="宋体"/>
                <w:color w:val="333333"/>
                <w:kern w:val="0"/>
                <w:sz w:val="32"/>
                <w:szCs w:val="32"/>
              </w:rPr>
            </w:pPr>
          </w:p>
          <w:p>
            <w:pPr>
              <w:widowControl/>
              <w:spacing w:line="500" w:lineRule="exact"/>
              <w:jc w:val="center"/>
              <w:rPr>
                <w:rFonts w:ascii="宋体" w:hAnsi="宋体" w:cs="宋体"/>
                <w:kern w:val="0"/>
                <w:sz w:val="24"/>
              </w:rPr>
            </w:pPr>
            <w:r>
              <w:rPr>
                <w:rFonts w:hint="eastAsia" w:ascii="仿宋_GB2312" w:eastAsia="仿宋_GB2312"/>
                <w:sz w:val="32"/>
              </w:rPr>
              <w:br w:type="page"/>
            </w:r>
            <w:r>
              <w:rPr>
                <w:rFonts w:ascii="宋体" w:hAnsi="宋体" w:cs="宋体"/>
                <w:kern w:val="0"/>
                <w:sz w:val="24"/>
              </w:rPr>
              <w:t> </w:t>
            </w:r>
          </w:p>
          <w:p>
            <w:pPr>
              <w:widowControl/>
              <w:spacing w:line="500" w:lineRule="exact"/>
              <w:jc w:val="center"/>
              <w:rPr>
                <w:rFonts w:ascii="宋体" w:hAnsi="宋体" w:cs="宋体"/>
                <w:kern w:val="0"/>
                <w:sz w:val="24"/>
              </w:rPr>
            </w:pPr>
          </w:p>
          <w:p>
            <w:pPr>
              <w:widowControl/>
              <w:spacing w:line="500" w:lineRule="exact"/>
              <w:jc w:val="center"/>
              <w:rPr>
                <w:rFonts w:ascii="宋体" w:hAnsi="宋体" w:cs="宋体"/>
                <w:kern w:val="0"/>
                <w:sz w:val="24"/>
              </w:rPr>
            </w:pPr>
          </w:p>
          <w:p>
            <w:pPr>
              <w:widowControl/>
              <w:spacing w:line="500" w:lineRule="exact"/>
              <w:jc w:val="center"/>
              <w:rPr>
                <w:rFonts w:ascii="宋体" w:hAnsi="宋体" w:cs="宋体"/>
                <w:kern w:val="0"/>
                <w:sz w:val="24"/>
              </w:rPr>
            </w:pPr>
          </w:p>
          <w:p>
            <w:pPr>
              <w:widowControl/>
              <w:spacing w:line="500" w:lineRule="exact"/>
              <w:jc w:val="center"/>
              <w:rPr>
                <w:rFonts w:hint="eastAsia" w:ascii="宋体" w:hAnsi="宋体" w:cs="宋体"/>
                <w:kern w:val="0"/>
                <w:sz w:val="24"/>
              </w:rPr>
            </w:pPr>
          </w:p>
          <w:p>
            <w:pPr>
              <w:widowControl/>
              <w:spacing w:line="500" w:lineRule="exact"/>
              <w:jc w:val="center"/>
              <w:rPr>
                <w:rFonts w:hint="eastAsia" w:ascii="宋体" w:hAnsi="宋体" w:cs="宋体"/>
                <w:kern w:val="0"/>
                <w:sz w:val="24"/>
              </w:rPr>
            </w:pPr>
          </w:p>
          <w:p>
            <w:pPr>
              <w:widowControl/>
              <w:spacing w:line="500" w:lineRule="exact"/>
              <w:jc w:val="center"/>
              <w:rPr>
                <w:rFonts w:ascii="宋体" w:hAnsi="宋体" w:cs="宋体"/>
                <w:kern w:val="0"/>
                <w:sz w:val="24"/>
              </w:rPr>
            </w:pPr>
            <w:r>
              <w:rPr>
                <w:rFonts w:ascii="宋体" w:hAnsi="宋体" w:cs="宋体"/>
                <w:kern w:val="0"/>
                <w:sz w:val="24"/>
              </w:rPr>
              <w:t> </w:t>
            </w:r>
          </w:p>
          <w:p>
            <w:pPr>
              <w:widowControl/>
              <w:spacing w:line="500" w:lineRule="exact"/>
              <w:jc w:val="center"/>
              <w:rPr>
                <w:rFonts w:ascii="方正小标宋简体" w:hAnsi="宋体" w:eastAsia="方正小标宋简体" w:cs="宋体"/>
                <w:spacing w:val="-20"/>
                <w:kern w:val="0"/>
                <w:sz w:val="44"/>
                <w:szCs w:val="44"/>
              </w:rPr>
            </w:pPr>
            <w:r>
              <w:rPr>
                <w:rFonts w:hint="eastAsia" w:ascii="方正小标宋简体" w:hAnsi="宋体" w:eastAsia="方正小标宋简体" w:cs="宋体"/>
                <w:spacing w:val="-20"/>
                <w:kern w:val="0"/>
                <w:sz w:val="44"/>
                <w:szCs w:val="44"/>
              </w:rPr>
              <w:t>国务院安委会办公室关于江苏省</w:t>
            </w:r>
          </w:p>
          <w:p>
            <w:pPr>
              <w:widowControl/>
              <w:spacing w:line="500" w:lineRule="exact"/>
              <w:jc w:val="center"/>
              <w:rPr>
                <w:rFonts w:hint="eastAsia" w:ascii="仿宋_GB2312" w:hAnsi="宋体" w:eastAsia="仿宋_GB2312" w:cs="宋体"/>
                <w:kern w:val="0"/>
                <w:sz w:val="32"/>
              </w:rPr>
            </w:pPr>
            <w:r>
              <w:rPr>
                <w:rFonts w:hint="eastAsia" w:ascii="方正小标宋简体" w:hAnsi="宋体" w:eastAsia="方正小标宋简体" w:cs="宋体"/>
                <w:spacing w:val="-20"/>
                <w:kern w:val="0"/>
                <w:sz w:val="44"/>
                <w:szCs w:val="44"/>
              </w:rPr>
              <w:t>徐州市“12.12”重大道路交通事故情况的通报</w:t>
            </w:r>
          </w:p>
          <w:p>
            <w:pPr>
              <w:widowControl/>
              <w:spacing w:line="500" w:lineRule="exact"/>
              <w:ind w:right="1680" w:rightChars="800"/>
              <w:jc w:val="center"/>
              <w:rPr>
                <w:rFonts w:hint="eastAsia" w:ascii="仿宋_GB2312" w:hAnsi="宋体" w:eastAsia="仿宋_GB2312" w:cs="宋体"/>
                <w:kern w:val="0"/>
                <w:sz w:val="32"/>
              </w:rPr>
            </w:pPr>
          </w:p>
          <w:p>
            <w:pPr>
              <w:widowControl/>
              <w:spacing w:line="500" w:lineRule="exact"/>
              <w:jc w:val="center"/>
              <w:rPr>
                <w:rFonts w:hint="eastAsia" w:ascii="仿宋_GB2312" w:hAnsi="宋体" w:eastAsia="仿宋_GB2312" w:cs="宋体"/>
                <w:kern w:val="0"/>
                <w:sz w:val="32"/>
                <w:szCs w:val="32"/>
              </w:rPr>
            </w:pPr>
          </w:p>
          <w:p>
            <w:pPr>
              <w:widowControl/>
              <w:spacing w:line="54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各省、自治区、直辖市及新疆生产建设兵团安全生产委员会：</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2011年12月12日下午，一辆号牌为苏CR1836的私营客车（核载52人）从江苏省徐州市丰县首羡镇中心小学接送49名学生回家，途中有2名学生下车。17时45分，当车辆由南往北行至首羡镇张后屯村附近一条村道时，侧翻滑入路边水沟，导致车内15人死亡、8人受伤。经初步调查分析，事故直接原因是客车超速行驶，在躲避一辆对面驶来的人力三轮车时采取措施不当。此外，客车驾驶人还存在驾驶证与准驾车型不符的违法行为。</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该起事故的发生，充分暴露出一些地区在中小学校（幼儿园）校车安全管理方面依然存在隐患排查治理不到位、路面秩序管控不到位、源头监督管理不到位等突出问题。依据有关规定，国务院安委会已对该事故查处实行挂牌督办，查处结果将及时向社会公布。为认真吸取事故教训，进一步加强校车交通安全工作，有效防范和坚决遏制此类事故的发生，现提出以下要求：</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宋体"/>
                <w:kern w:val="0"/>
                <w:sz w:val="32"/>
                <w:szCs w:val="32"/>
              </w:rPr>
              <w:t>一、进一步提高对校车安全管理工作的重视程度。</w:t>
            </w:r>
            <w:r>
              <w:rPr>
                <w:rFonts w:hint="eastAsia" w:ascii="仿宋_GB2312" w:hAnsi="宋体" w:eastAsia="仿宋_GB2312" w:cs="宋体"/>
                <w:kern w:val="0"/>
                <w:sz w:val="32"/>
                <w:szCs w:val="32"/>
              </w:rPr>
              <w:t>各地区要认真贯彻落实《国务院关于坚持科学发展安全发展促进安全生产形势持续稳定好转的意见》（国发〔2011〕40号）和中央领导同志近期关于校车交通安全的重要批示指示要求，以高度的责任感、使命感和紧迫感，始终把安全生产工作摆在经济社会发展重中之重的位置，把校车交通安全摆在安全生产工作的重要位置，下大力气强化校车交通安全管理。要切实履行校车交通安全管理职能，认真分析本地区道路交通安全、学生出行规律、校车发展现状等总体形势，深入剖析校车交通安全管理工作中存在的突出问题和薄弱环节，采取针对性和操作性强、效果明显的措施，坚决遏制校车交通安全事故频发的势头。</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宋体"/>
                <w:kern w:val="0"/>
                <w:sz w:val="32"/>
                <w:szCs w:val="32"/>
              </w:rPr>
              <w:t>二、进一步加大对校车交通安全的源头管理力度。</w:t>
            </w:r>
            <w:r>
              <w:rPr>
                <w:rFonts w:hint="eastAsia" w:ascii="仿宋_GB2312" w:hAnsi="宋体" w:eastAsia="仿宋_GB2312" w:cs="宋体"/>
                <w:kern w:val="0"/>
                <w:sz w:val="32"/>
                <w:szCs w:val="32"/>
              </w:rPr>
              <w:t>各地区要进一步排查校车的车辆安全隐患，加大对接送学生车辆的安全检查力度，尤其要加强对中小学校（幼儿园）自营、社会个体私营等性质车辆的日常监督检查，坚决制止不符合安全规定和存在安全隐患的车辆接送学生。要大力开展校车驾驶员的安全教育培训，进一步强化管理措施，严格资质审查、考核发证和监督考评，不断提高校车驾驶员的安全道德、安全意识和安全技能，增强校车驾驶员在突发紧急情况下最大限度保护学生安全的应急处置能力。要加强校车交通安全的宣传力度，教育广大学生、家长提高安全意识和防护意识，坚决不乘坐拼装车、报废车、农用车、货运车等非法运营车辆和超员车辆上下学。要进一步加强公众参与和舆论监督，在全社会形成人人关心校车安全、人人关注校车安全、人人监督校车安全的良好氛围。</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宋体"/>
                <w:kern w:val="0"/>
                <w:sz w:val="32"/>
                <w:szCs w:val="32"/>
              </w:rPr>
              <w:t>三、进一步拓展路面交通巡查和秩序管控的深度。</w:t>
            </w:r>
            <w:r>
              <w:rPr>
                <w:rFonts w:hint="eastAsia" w:ascii="仿宋_GB2312" w:hAnsi="宋体" w:eastAsia="仿宋_GB2312" w:cs="宋体"/>
                <w:kern w:val="0"/>
                <w:sz w:val="32"/>
                <w:szCs w:val="32"/>
              </w:rPr>
              <w:t>各地区要以整顿校车交通安全为重点，进一步加强路面交通巡查和交通秩序管控。要优化警力配置，完善勤务部署，改进勤务方法，进一步提高路面见警率、管事率，严厉打击校车驾驶员无证驾驶、驾驶证与准驾车型不符以及校车超速、超载、未按规定行驶等重点违法行为，着力加强农村地区、学校周边道路交通秩序管理。要定期公布校车驾驶员的交通违法行为及发生交通事故的情况，对校车超载、超速等严重违法行为，要及时通报教育主管部门和驾驶员所属单位并进行严肃处理。</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宋体"/>
                <w:kern w:val="0"/>
                <w:sz w:val="32"/>
                <w:szCs w:val="32"/>
              </w:rPr>
              <w:t>四、进一步严肃事故查处，加大责任追究力度。</w:t>
            </w:r>
            <w:r>
              <w:rPr>
                <w:rFonts w:hint="eastAsia" w:ascii="仿宋_GB2312" w:hAnsi="宋体" w:eastAsia="仿宋_GB2312" w:cs="宋体"/>
                <w:kern w:val="0"/>
                <w:sz w:val="32"/>
                <w:szCs w:val="32"/>
              </w:rPr>
              <w:t>各地区要严格按照《生产安全事故报告和调查处理条例》（国务院令第493号）的规定，坚持“四不放过”和“科学严谨、依法依规、实事求是、注重实效”的原则，严厉查处中小学校（幼儿园）校车交通安全事故，在查清事故原因、认定事故性质的基础上，严肃处理相关责任单位和人员。要认真执行事故查处挂牌督办制度，确保事故按期结案，及时向社会公布查处结果，并跟踪督促事故责任和整改措施的落实。</w:t>
            </w:r>
          </w:p>
          <w:p>
            <w:pPr>
              <w:widowControl/>
              <w:spacing w:line="540" w:lineRule="exact"/>
              <w:ind w:firstLine="640" w:firstLineChars="200"/>
              <w:jc w:val="left"/>
              <w:rPr>
                <w:rFonts w:hint="eastAsia" w:ascii="仿宋_GB2312" w:hAnsi="宋体" w:eastAsia="仿宋_GB2312" w:cs="宋体"/>
                <w:kern w:val="0"/>
                <w:sz w:val="32"/>
                <w:szCs w:val="32"/>
              </w:rPr>
            </w:pPr>
          </w:p>
          <w:p>
            <w:pPr>
              <w:widowControl/>
              <w:spacing w:line="540" w:lineRule="exact"/>
              <w:ind w:firstLine="640" w:firstLineChars="200"/>
              <w:jc w:val="left"/>
              <w:rPr>
                <w:rFonts w:hint="eastAsia" w:ascii="仿宋_GB2312" w:hAnsi="宋体" w:eastAsia="仿宋_GB2312" w:cs="宋体"/>
                <w:kern w:val="0"/>
                <w:sz w:val="32"/>
                <w:szCs w:val="32"/>
              </w:rPr>
            </w:pP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国务院安全生产委员会办公室</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二</w:t>
            </w:r>
            <w:r>
              <w:rPr>
                <w:rFonts w:hint="eastAsia" w:ascii="仿宋_GB2312" w:hAnsi="宋体" w:cs="宋体"/>
                <w:kern w:val="0"/>
                <w:sz w:val="32"/>
                <w:szCs w:val="32"/>
              </w:rPr>
              <w:t>〇</w:t>
            </w:r>
            <w:r>
              <w:rPr>
                <w:rFonts w:hint="eastAsia" w:ascii="仿宋_GB2312" w:hAnsi="仿宋_GB2312" w:eastAsia="仿宋_GB2312" w:cs="仿宋_GB2312"/>
                <w:kern w:val="0"/>
                <w:sz w:val="32"/>
                <w:szCs w:val="32"/>
              </w:rPr>
              <w:t>一一年十二月二十一日</w:t>
            </w:r>
          </w:p>
          <w:p>
            <w:pPr>
              <w:widowControl/>
              <w:spacing w:before="100" w:beforeAutospacing="1" w:after="100" w:afterAutospacing="1" w:line="376" w:lineRule="atLeast"/>
              <w:jc w:val="left"/>
              <w:rPr>
                <w:rFonts w:ascii="宋体" w:hAnsi="宋体" w:cs="宋体"/>
                <w:kern w:val="0"/>
                <w:sz w:val="20"/>
                <w:szCs w:val="20"/>
              </w:rPr>
            </w:pPr>
            <w:r>
              <w:rPr>
                <w:rFonts w:ascii="宋体" w:hAnsi="宋体" w:cs="宋体"/>
                <w:kern w:val="0"/>
                <w:sz w:val="20"/>
                <w:szCs w:val="20"/>
              </w:rPr>
              <w:br w:type="textWrapping"/>
            </w:r>
            <w:r>
              <w:rPr>
                <w:rFonts w:ascii="宋体" w:hAnsi="宋体" w:cs="宋体"/>
                <w:kern w:val="0"/>
                <w:sz w:val="20"/>
                <w:szCs w:val="20"/>
              </w:rPr>
              <w:t xml:space="preserve">   </w:t>
            </w:r>
          </w:p>
        </w:tc>
        <w:tc>
          <w:tcPr>
            <w:tcW w:w="0" w:type="auto"/>
            <w:shd w:val="clear" w:color="auto" w:fill="FFFFFF"/>
            <w:noWrap w:val="0"/>
            <w:vAlign w:val="top"/>
          </w:tcPr>
          <w:p>
            <w:pPr>
              <w:widowControl/>
              <w:jc w:val="left"/>
              <w:rPr>
                <w:rFonts w:ascii="宋体" w:hAnsi="宋体" w:cs="宋体"/>
                <w:kern w:val="0"/>
                <w:sz w:val="15"/>
                <w:szCs w:val="15"/>
              </w:rPr>
            </w:pPr>
            <w:r>
              <w:rPr>
                <w:rFonts w:ascii="宋体" w:hAnsi="宋体" w:cs="宋体"/>
                <w:kern w:val="0"/>
                <w:sz w:val="15"/>
                <w:szCs w:val="15"/>
              </w:rPr>
              <w:t> </w:t>
            </w:r>
          </w:p>
        </w:tc>
      </w:tr>
    </w:tbl>
    <w:p>
      <w:pPr>
        <w:widowControl/>
        <w:pBdr>
          <w:bottom w:val="single" w:color="auto" w:sz="6" w:space="1"/>
        </w:pBdr>
        <w:jc w:val="center"/>
        <w:rPr>
          <w:rFonts w:hint="eastAsia" w:ascii="Arial" w:hAnsi="Arial" w:cs="Arial"/>
          <w:vanish/>
          <w:kern w:val="0"/>
          <w:sz w:val="16"/>
          <w:szCs w:val="16"/>
        </w:rPr>
      </w:pPr>
      <w:r>
        <w:rPr>
          <w:rFonts w:hint="eastAsia" w:ascii="Arial" w:hAnsi="Arial" w:cs="Arial"/>
          <w:vanish/>
          <w:kern w:val="0"/>
          <w:sz w:val="16"/>
          <w:szCs w:val="16"/>
        </w:rPr>
        <w:t>窗体顶端</w:t>
      </w:r>
    </w:p>
    <w:p>
      <w:pPr>
        <w:widowControl/>
        <w:jc w:val="left"/>
        <w:rPr>
          <w:rFonts w:hint="eastAsia" w:ascii="宋体" w:hAnsi="宋体" w:cs="宋体"/>
          <w:kern w:val="0"/>
          <w:sz w:val="18"/>
          <w:szCs w:val="18"/>
        </w:rPr>
      </w:pPr>
      <w:r>
        <w:rPr>
          <w:rFonts w:ascii="宋体" w:hAnsi="宋体" w:cs="宋体"/>
          <w:vanish/>
          <w:kern w:val="0"/>
          <w:sz w:val="18"/>
          <w:szCs w:val="18"/>
        </w:rPr>
        <w:object>
          <v:shape id="_x0000_i1025" o:spt="201" type="#_x0000_t201" style="height:18pt;width:72pt;" o:ole="t" filled="f" o:preferrelative="t" stroked="f" coordsize="21600,21600">
            <v:path/>
            <v:fill on="f" alignshape="1" focussize="0,0"/>
            <v:stroke on="f"/>
            <v:imagedata r:id="rId7" o:title=""/>
            <o:lock v:ext="edit" aspectratio="t"/>
            <w10:wrap type="none"/>
            <w10:anchorlock/>
          </v:shape>
          <w:control r:id="rId6" w:name="DefaultOcxName" w:shapeid="_x0000_i1025"/>
        </w:object>
      </w:r>
    </w:p>
    <w:sectPr>
      <w:footerReference r:id="rId3" w:type="default"/>
      <w:footerReference r:id="rId4" w:type="even"/>
      <w:pgSz w:w="11906" w:h="16838"/>
      <w:pgMar w:top="1440" w:right="1588"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2</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3E"/>
    <w:rsid w:val="00010724"/>
    <w:rsid w:val="00052DBD"/>
    <w:rsid w:val="00061537"/>
    <w:rsid w:val="000A1256"/>
    <w:rsid w:val="000D0177"/>
    <w:rsid w:val="000E3C2F"/>
    <w:rsid w:val="000F1AE0"/>
    <w:rsid w:val="001A315C"/>
    <w:rsid w:val="001B091A"/>
    <w:rsid w:val="001B0C97"/>
    <w:rsid w:val="001D7F11"/>
    <w:rsid w:val="001E060E"/>
    <w:rsid w:val="001F12DF"/>
    <w:rsid w:val="0022460A"/>
    <w:rsid w:val="00233C77"/>
    <w:rsid w:val="0024571C"/>
    <w:rsid w:val="00273A62"/>
    <w:rsid w:val="00296F41"/>
    <w:rsid w:val="002A63FF"/>
    <w:rsid w:val="002B557D"/>
    <w:rsid w:val="002C1BDD"/>
    <w:rsid w:val="002F5D7D"/>
    <w:rsid w:val="002F6F29"/>
    <w:rsid w:val="002F74B2"/>
    <w:rsid w:val="00305E2F"/>
    <w:rsid w:val="0031223D"/>
    <w:rsid w:val="003D4FBC"/>
    <w:rsid w:val="003F3FDA"/>
    <w:rsid w:val="00404EAB"/>
    <w:rsid w:val="00421876"/>
    <w:rsid w:val="004765E7"/>
    <w:rsid w:val="004B6C96"/>
    <w:rsid w:val="004B7798"/>
    <w:rsid w:val="004C74CD"/>
    <w:rsid w:val="004E0E3B"/>
    <w:rsid w:val="004E4E7A"/>
    <w:rsid w:val="004E535F"/>
    <w:rsid w:val="005668F9"/>
    <w:rsid w:val="00576694"/>
    <w:rsid w:val="005840CF"/>
    <w:rsid w:val="00587F3E"/>
    <w:rsid w:val="005950AB"/>
    <w:rsid w:val="005C4FC0"/>
    <w:rsid w:val="005D0FF7"/>
    <w:rsid w:val="005D20C7"/>
    <w:rsid w:val="005D2F4A"/>
    <w:rsid w:val="005D5917"/>
    <w:rsid w:val="00606B07"/>
    <w:rsid w:val="00620B6C"/>
    <w:rsid w:val="00626ACE"/>
    <w:rsid w:val="006534A2"/>
    <w:rsid w:val="00666ABC"/>
    <w:rsid w:val="006A70B7"/>
    <w:rsid w:val="006C32C7"/>
    <w:rsid w:val="006C5CBC"/>
    <w:rsid w:val="006E048A"/>
    <w:rsid w:val="006E6318"/>
    <w:rsid w:val="006F1AB2"/>
    <w:rsid w:val="00710F42"/>
    <w:rsid w:val="00731C19"/>
    <w:rsid w:val="007434C3"/>
    <w:rsid w:val="00753218"/>
    <w:rsid w:val="00795E34"/>
    <w:rsid w:val="007B35A2"/>
    <w:rsid w:val="00820458"/>
    <w:rsid w:val="00836617"/>
    <w:rsid w:val="0083775B"/>
    <w:rsid w:val="00852A88"/>
    <w:rsid w:val="00874B55"/>
    <w:rsid w:val="008C2560"/>
    <w:rsid w:val="008E719D"/>
    <w:rsid w:val="00975DD5"/>
    <w:rsid w:val="009E4050"/>
    <w:rsid w:val="00A31FB1"/>
    <w:rsid w:val="00A337DC"/>
    <w:rsid w:val="00A36D3D"/>
    <w:rsid w:val="00A450B1"/>
    <w:rsid w:val="00A86DC7"/>
    <w:rsid w:val="00AA77E3"/>
    <w:rsid w:val="00AB0481"/>
    <w:rsid w:val="00AD21E0"/>
    <w:rsid w:val="00AF60BC"/>
    <w:rsid w:val="00B05570"/>
    <w:rsid w:val="00B064F0"/>
    <w:rsid w:val="00B10AE8"/>
    <w:rsid w:val="00BD2A5D"/>
    <w:rsid w:val="00BF1EA4"/>
    <w:rsid w:val="00BF66F2"/>
    <w:rsid w:val="00C15AD8"/>
    <w:rsid w:val="00C43C3E"/>
    <w:rsid w:val="00C57059"/>
    <w:rsid w:val="00C96E53"/>
    <w:rsid w:val="00CB0F73"/>
    <w:rsid w:val="00CF739F"/>
    <w:rsid w:val="00D15981"/>
    <w:rsid w:val="00D51ABD"/>
    <w:rsid w:val="00D60EC9"/>
    <w:rsid w:val="00D71447"/>
    <w:rsid w:val="00D76E67"/>
    <w:rsid w:val="00D91ED0"/>
    <w:rsid w:val="00DA2509"/>
    <w:rsid w:val="00DB2265"/>
    <w:rsid w:val="00E12A7D"/>
    <w:rsid w:val="00E373A8"/>
    <w:rsid w:val="00E41AFF"/>
    <w:rsid w:val="00E57300"/>
    <w:rsid w:val="00E578B9"/>
    <w:rsid w:val="00E66D85"/>
    <w:rsid w:val="00E73F1C"/>
    <w:rsid w:val="00E83D45"/>
    <w:rsid w:val="00F167A0"/>
    <w:rsid w:val="00F208F7"/>
    <w:rsid w:val="00F438FA"/>
    <w:rsid w:val="00F445F2"/>
    <w:rsid w:val="00F56FC8"/>
    <w:rsid w:val="00FE2324"/>
    <w:rsid w:val="764F70A3"/>
    <w:rsid w:val="76DB9B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w:basedOn w:val="1"/>
    <w:link w:val="6"/>
    <w:uiPriority w:val="0"/>
    <w:pPr>
      <w:widowControl/>
      <w:spacing w:after="160" w:line="240" w:lineRule="exact"/>
      <w:jc w:val="left"/>
    </w:pPr>
    <w:rPr>
      <w:szCs w:val="20"/>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5</Pages>
  <Words>2048</Words>
  <Characters>2103</Characters>
  <Lines>16</Lines>
  <Paragraphs>4</Paragraphs>
  <TotalTime>1.33333333333333</TotalTime>
  <ScaleCrop>false</ScaleCrop>
  <LinksUpToDate>false</LinksUpToDate>
  <CharactersWithSpaces>2164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2012-01-09T14:57:00Z</dcterms:created>
  <dc:creator>微软用户</dc:creator>
  <cp:lastModifiedBy>比心</cp:lastModifiedBy>
  <cp:lastPrinted>2012-01-10T08:27:00Z</cp:lastPrinted>
  <dcterms:modified xsi:type="dcterms:W3CDTF">2023-05-04T08:45:14Z</dcterms:modified>
  <dc:title>关于转发《转发国务院安委会办公室关于江苏省徐洲市“12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2066E1DCA2B74B5CA17BFAC282A931D6_13</vt:lpwstr>
  </property>
</Properties>
</file>