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eastAsia="方正小标宋简体"/>
          <w:color w:val="000000"/>
          <w:kern w:val="0"/>
          <w:sz w:val="44"/>
          <w:szCs w:val="44"/>
        </w:rPr>
      </w:pPr>
      <w:bookmarkStart w:id="0" w:name="OLE_LINK1"/>
      <w:bookmarkStart w:id="1" w:name="OLE_LINK4"/>
      <w:bookmarkStart w:id="2" w:name="OLE_LINK3"/>
      <w:r>
        <w:rPr>
          <w:rFonts w:eastAsia="方正小标宋简体"/>
          <w:color w:val="000000"/>
          <w:kern w:val="0"/>
          <w:sz w:val="44"/>
          <w:szCs w:val="44"/>
        </w:rPr>
        <w:t>区森林防灭火指挥部办公室 区林业局</w:t>
      </w:r>
      <w:r>
        <w:rPr>
          <w:rFonts w:hint="eastAsia" w:eastAsia="方正小标宋简体"/>
          <w:color w:val="000000"/>
          <w:kern w:val="0"/>
          <w:sz w:val="44"/>
          <w:szCs w:val="44"/>
          <w:lang w:val="en-US" w:eastAsia="zh-CN"/>
        </w:rPr>
        <w:t xml:space="preserve"> </w:t>
      </w:r>
      <w:r>
        <w:rPr>
          <w:rFonts w:eastAsia="方正小标宋简体"/>
          <w:color w:val="000000"/>
          <w:kern w:val="0"/>
          <w:sz w:val="44"/>
          <w:szCs w:val="44"/>
        </w:rPr>
        <w:t>公安</w:t>
      </w:r>
    </w:p>
    <w:p>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蓟州分局 区应急局关于组织开展森林</w:t>
      </w:r>
    </w:p>
    <w:p>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火灾隐患排查整治和查处违规</w:t>
      </w:r>
    </w:p>
    <w:p>
      <w:pPr>
        <w:widowControl/>
        <w:spacing w:line="560" w:lineRule="exact"/>
        <w:jc w:val="center"/>
        <w:rPr>
          <w:rFonts w:eastAsia="方正小标宋简体"/>
          <w:sz w:val="44"/>
          <w:szCs w:val="44"/>
        </w:rPr>
      </w:pPr>
      <w:r>
        <w:rPr>
          <w:rFonts w:eastAsia="方正小标宋简体"/>
          <w:color w:val="000000"/>
          <w:kern w:val="0"/>
          <w:sz w:val="44"/>
          <w:szCs w:val="44"/>
        </w:rPr>
        <w:t>用火行为专项行动的通知</w:t>
      </w:r>
    </w:p>
    <w:bookmarkEnd w:id="0"/>
    <w:bookmarkEnd w:id="1"/>
    <w:bookmarkEnd w:id="2"/>
    <w:p>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仿宋_GB2312"/>
          <w:color w:val="000000"/>
          <w:kern w:val="0"/>
          <w:sz w:val="32"/>
          <w:szCs w:val="32"/>
        </w:rPr>
      </w:pPr>
      <w:r>
        <w:rPr>
          <w:rFonts w:eastAsia="仿宋_GB2312"/>
          <w:color w:val="000000"/>
          <w:kern w:val="0"/>
          <w:sz w:val="32"/>
          <w:szCs w:val="32"/>
        </w:rPr>
        <w:t xml:space="preserve">各乡镇、有林单位、区森林防灭火指挥部成员单位：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 xml:space="preserve">按照《市森林防灭火指挥部办公室市规划资源局市公安局市应急局关于组织开展森林火灾隐患排查整治和查处违规用火行为专项行动的通知》（津森防办发〔2022〕3号）要求，为消除森林火灾隐患，严厉查处违规用火行为，减少人为因素引发森林火灾，区森林防灭火指挥部办公室、区林业局、公安蓟州分局、区应急局将联合组织开展我区森林火灾隐患排查整治和查处违规用火行为专项行动。现将有关事项通知如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color w:val="000000"/>
          <w:kern w:val="0"/>
          <w:sz w:val="32"/>
          <w:szCs w:val="32"/>
        </w:rPr>
        <w:t>一、总体目标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关于森林草原防灭火工作重要指示精神及李克强总理重要批示要求，坚持“防未、防危、防违”“打早、打小、打了”全链条管理，对我区森林火灾隐患进行全面排查整治，实行台账式管理，建立健全火灾隐患自查自纠长效机制；依法严厉查处违规用火行为，切实从源头上防范化解森林火灾风险隐患，真正把问题解决在萌芽之时、成灾之前，坚决遏制人为原因引发森林火灾，全力维护国家生态安全、人民群众生命财产安全与社会和谐稳定，为党的二十大、市</w:t>
      </w:r>
      <w:r>
        <w:rPr>
          <w:rFonts w:hint="eastAsia" w:ascii="仿宋_GB2312" w:hAnsi="仿宋_GB2312" w:eastAsia="仿宋_GB2312" w:cs="仿宋_GB2312"/>
          <w:sz w:val="32"/>
          <w:szCs w:val="32"/>
          <w:lang w:eastAsia="zh-CN"/>
        </w:rPr>
        <w:t>第</w:t>
      </w:r>
      <w:bookmarkStart w:id="3" w:name="_GoBack"/>
      <w:bookmarkEnd w:id="3"/>
      <w:r>
        <w:rPr>
          <w:rFonts w:hint="eastAsia" w:ascii="仿宋_GB2312" w:hAnsi="仿宋_GB2312" w:eastAsia="仿宋_GB2312" w:cs="仿宋_GB2312"/>
          <w:sz w:val="32"/>
          <w:szCs w:val="32"/>
        </w:rPr>
        <w:t>十二次党代会的胜利召营造安全稳定环境。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color w:val="000000"/>
          <w:kern w:val="0"/>
          <w:sz w:val="32"/>
          <w:szCs w:val="32"/>
        </w:rPr>
        <w:t xml:space="preserve">二、工作原则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楷体_GB2312"/>
          <w:color w:val="000000"/>
          <w:kern w:val="0"/>
          <w:sz w:val="32"/>
          <w:szCs w:val="32"/>
        </w:rPr>
        <w:t>（一）坚持协同配合、夯实责任。</w:t>
      </w:r>
      <w:r>
        <w:rPr>
          <w:rFonts w:eastAsia="仿宋_GB2312"/>
          <w:color w:val="000000"/>
          <w:kern w:val="0"/>
          <w:sz w:val="32"/>
          <w:szCs w:val="32"/>
        </w:rPr>
        <w:t xml:space="preserve">严格落实党政同责、一岗双责，切实强化地方党委政府领导责任，严格落实林业主管部门预防责任、应急管理部门扑救责任、公安部门火案查处责任、经营单位防火主体责任，强化防灭火一体化理念，各相关部门加强协同配合，形成协调顺畅、配合紧密、调度有序的工作机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楷体_GB2312"/>
          <w:color w:val="000000"/>
          <w:kern w:val="0"/>
          <w:sz w:val="32"/>
          <w:szCs w:val="32"/>
        </w:rPr>
      </w:pPr>
      <w:r>
        <w:rPr>
          <w:rFonts w:eastAsia="楷体_GB2312"/>
          <w:color w:val="000000"/>
          <w:kern w:val="0"/>
          <w:sz w:val="32"/>
          <w:szCs w:val="32"/>
        </w:rPr>
        <w:t>（二）坚持问题导向、务求实效。</w:t>
      </w:r>
      <w:r>
        <w:rPr>
          <w:rFonts w:eastAsia="仿宋_GB2312"/>
          <w:color w:val="000000"/>
          <w:kern w:val="0"/>
          <w:sz w:val="32"/>
          <w:szCs w:val="32"/>
        </w:rPr>
        <w:t>紧盯重要时段、重要部位、重要设施，深入查找问题隐患，敢于较真碰硬，加大隐患排查整治力度，坚决依法依规查处违规用火行为。坚持边检查、边整改、边查处，及时堵塞漏洞。对因责任不落实、措施不到位、排查整治流于形式等导致发生火灾的，将严肃追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楷体_GB2312"/>
          <w:color w:val="000000"/>
          <w:kern w:val="0"/>
          <w:sz w:val="32"/>
          <w:szCs w:val="32"/>
        </w:rPr>
        <w:t>（三）坚持依法治火，筑牢防线。</w:t>
      </w:r>
      <w:r>
        <w:rPr>
          <w:rFonts w:eastAsia="仿宋_GB2312"/>
          <w:color w:val="000000"/>
          <w:kern w:val="0"/>
          <w:sz w:val="32"/>
          <w:szCs w:val="32"/>
        </w:rPr>
        <w:t>不断健全法规制度、完善标准规范、强化执法体系、拧紧责任链条，为实施依法治火、依法管火提供强大法制保障。以</w:t>
      </w:r>
      <w:r>
        <w:rPr>
          <w:rFonts w:hint="eastAsia" w:eastAsia="仿宋_GB2312"/>
          <w:color w:val="000000"/>
          <w:kern w:val="0"/>
          <w:sz w:val="32"/>
          <w:szCs w:val="32"/>
        </w:rPr>
        <w:t>“</w:t>
      </w:r>
      <w:r>
        <w:rPr>
          <w:rFonts w:eastAsia="仿宋_GB2312"/>
          <w:color w:val="000000"/>
          <w:kern w:val="0"/>
          <w:sz w:val="32"/>
          <w:szCs w:val="32"/>
        </w:rPr>
        <w:t>森林防火宣传月、防灾减灾宣传</w:t>
      </w:r>
      <w:r>
        <w:rPr>
          <w:rFonts w:hint="eastAsia" w:eastAsia="仿宋_GB2312"/>
          <w:color w:val="000000"/>
          <w:kern w:val="0"/>
          <w:sz w:val="32"/>
          <w:szCs w:val="32"/>
        </w:rPr>
        <w:t>日（</w:t>
      </w:r>
      <w:r>
        <w:rPr>
          <w:rFonts w:eastAsia="仿宋_GB2312"/>
          <w:color w:val="000000"/>
          <w:kern w:val="0"/>
          <w:sz w:val="32"/>
          <w:szCs w:val="32"/>
        </w:rPr>
        <w:t>周</w:t>
      </w:r>
      <w:r>
        <w:rPr>
          <w:rFonts w:hint="eastAsia" w:eastAsia="仿宋_GB2312"/>
          <w:color w:val="000000"/>
          <w:kern w:val="0"/>
          <w:sz w:val="32"/>
          <w:szCs w:val="32"/>
        </w:rPr>
        <w:t>）”</w:t>
      </w:r>
      <w:r>
        <w:rPr>
          <w:rFonts w:eastAsia="仿宋_GB2312"/>
          <w:color w:val="000000"/>
          <w:kern w:val="0"/>
          <w:sz w:val="32"/>
          <w:szCs w:val="32"/>
        </w:rPr>
        <w:t>活动为契机，加强普法宣传，开展警示教育，提升群众法治观念，构筑全民思想防线。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color w:val="000000"/>
          <w:kern w:val="0"/>
          <w:sz w:val="32"/>
          <w:szCs w:val="32"/>
        </w:rPr>
        <w:t xml:space="preserve">三、行动方式及时间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楷体_GB2312"/>
          <w:color w:val="000000"/>
          <w:kern w:val="0"/>
          <w:sz w:val="32"/>
          <w:szCs w:val="32"/>
        </w:rPr>
      </w:pPr>
      <w:r>
        <w:rPr>
          <w:rFonts w:eastAsia="楷体_GB2312"/>
          <w:color w:val="000000"/>
          <w:kern w:val="0"/>
          <w:sz w:val="32"/>
          <w:szCs w:val="32"/>
        </w:rPr>
        <w:t>（一）行动方式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color w:val="000000"/>
          <w:kern w:val="0"/>
          <w:sz w:val="32"/>
          <w:szCs w:val="32"/>
        </w:rPr>
        <w:t>结合我区疫情防控和防灭火工作实际，制定专项行动实施方案。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楷体_GB2312"/>
          <w:color w:val="000000"/>
          <w:kern w:val="0"/>
          <w:sz w:val="32"/>
          <w:szCs w:val="32"/>
        </w:rPr>
      </w:pPr>
      <w:r>
        <w:rPr>
          <w:rFonts w:eastAsia="楷体_GB2312"/>
          <w:color w:val="000000"/>
          <w:kern w:val="0"/>
          <w:sz w:val="32"/>
          <w:szCs w:val="32"/>
        </w:rPr>
        <w:t xml:space="preserve">（二）行动时间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color w:val="000000"/>
          <w:kern w:val="0"/>
          <w:sz w:val="32"/>
          <w:szCs w:val="32"/>
        </w:rPr>
        <w:t>2022年4月中旬—12月中旬。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000000"/>
          <w:kern w:val="0"/>
          <w:sz w:val="32"/>
          <w:szCs w:val="32"/>
        </w:rPr>
      </w:pPr>
      <w:r>
        <w:rPr>
          <w:rFonts w:eastAsia="黑体"/>
          <w:color w:val="000000"/>
          <w:kern w:val="0"/>
          <w:sz w:val="32"/>
          <w:szCs w:val="32"/>
        </w:rPr>
        <w:t xml:space="preserve">四、行动内容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楷体_GB2312"/>
          <w:color w:val="000000"/>
          <w:kern w:val="0"/>
          <w:sz w:val="32"/>
          <w:szCs w:val="32"/>
        </w:rPr>
      </w:pPr>
      <w:r>
        <w:rPr>
          <w:rFonts w:eastAsia="楷体_GB2312"/>
          <w:color w:val="000000"/>
          <w:kern w:val="0"/>
          <w:sz w:val="32"/>
          <w:szCs w:val="32"/>
        </w:rPr>
        <w:t>（一）森林火灾隐患排查整治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围绕责任落实、火源管理、防范措施、队伍建设、应急处置、宣传教育、设施设备等方面进行梳理归类，在全区范围内全面开展森林火灾隐患排查整治，明确责任、时限和整改目标，建立隐患排查整治台账。在全面排查治理的基础上，认真贯彻落实全国森林草原防灭火工作电视电话会议和市森防指（扩大）会议精神以及全区安全生产工作会议精神，密切结合林区输配电设施火灾隐患专项排查治理行动和“森林防火宣传月”活动等相关工作要求，因地制宜、突出重点，加强对自然保护区、国有林区、旅游景区、油气管道、加油站、液化气站、储油库、输配电站、在建工程等重要设施、重点部位的火灾风险隐患排查，确保整治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楷体_GB2312"/>
          <w:color w:val="000000"/>
          <w:kern w:val="0"/>
          <w:sz w:val="32"/>
          <w:szCs w:val="32"/>
        </w:rPr>
      </w:pPr>
      <w:r>
        <w:rPr>
          <w:rFonts w:eastAsia="楷体_GB2312"/>
          <w:color w:val="000000"/>
          <w:kern w:val="0"/>
          <w:sz w:val="32"/>
          <w:szCs w:val="32"/>
        </w:rPr>
        <w:t xml:space="preserve">（二）查处违规用火行为专项行动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color w:val="000000"/>
          <w:kern w:val="0"/>
          <w:sz w:val="32"/>
          <w:szCs w:val="32"/>
        </w:rPr>
        <w:t>重点打击林区森林违规用火行为，整治危害防灭火安全的违规行为。严查去冬今春森林火灾积案，严打故意纵火、失火烧山行为，严惩阻碍执行森林防灭火公务行为。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违规农事用火。高火险天气在林缘、林内烧田埂、烧杂草、烧秸秆、烧灰积肥、烧垃圾、烧垦开荒等行为。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eastAsia="仿宋_GB2312"/>
          <w:color w:val="000000"/>
          <w:kern w:val="0"/>
          <w:sz w:val="32"/>
          <w:szCs w:val="32"/>
        </w:rPr>
        <w:t>2．违规祭</w:t>
      </w:r>
      <w:r>
        <w:rPr>
          <w:rFonts w:hint="eastAsia" w:ascii="仿宋_GB2312" w:hAnsi="仿宋_GB2312" w:eastAsia="仿宋_GB2312" w:cs="仿宋_GB2312"/>
          <w:sz w:val="32"/>
          <w:szCs w:val="32"/>
        </w:rPr>
        <w:t>祀用火。在林缘、林内焚烧纸钱、上香点烛、燃放花炮、焚香祭祀等行为。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color w:val="000000"/>
          <w:kern w:val="0"/>
          <w:sz w:val="32"/>
          <w:szCs w:val="32"/>
        </w:rPr>
        <w:t>3．违规生产性用火。未经审批、未在允许天气条件、未按操作规程开展炼山造林、计划烧除、烧疫木、点烧隔离带等行为。林区建设、施工单位未履行报备许可手续或未采取隔离防护措施进行焊接、切割、爆破、冶炼等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color w:val="000000"/>
          <w:kern w:val="0"/>
          <w:sz w:val="32"/>
          <w:szCs w:val="32"/>
        </w:rPr>
        <w:t>4．违规非生产性用火。林区、旅游景区野外吸烟、篝火、烧烤、野炊和燃放花炮、放孔明灯等行为，以及有关规定禁止的其他违规用火行为。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color w:val="000000"/>
          <w:kern w:val="0"/>
          <w:sz w:val="32"/>
          <w:szCs w:val="32"/>
        </w:rPr>
        <w:t xml:space="preserve">五、行动要求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楷体_GB2312"/>
          <w:color w:val="000000"/>
          <w:kern w:val="0"/>
          <w:sz w:val="32"/>
          <w:szCs w:val="32"/>
        </w:rPr>
        <w:t>（一）加强组织领导。</w:t>
      </w:r>
      <w:r>
        <w:rPr>
          <w:rFonts w:eastAsia="仿宋_GB2312"/>
          <w:color w:val="000000"/>
          <w:kern w:val="0"/>
          <w:sz w:val="32"/>
          <w:szCs w:val="32"/>
        </w:rPr>
        <w:t>各单位、各部门要严格落实党政同责、一岗双责，切实把专项行动摆上重要议事日程。我区森林火灾隐患排查整治和查处违规用火行为专项行动设专项行动领导小组，组长由区森防指办公室主任担任，区林业局、公安蓟州分局、区应急局分管森林防灭火工作的局领导作为领导小组成员。领导小组下设办公室，设在区林业局森林防火科，负责该项工作具体组织推进，公安蓟州分局、区应急局各指定一名联络员加入办公室做好联络协调工作。按照属地管理，分级管理的原则，区森防指要发挥牵头抓总作用，各有关部门要协同推进、形成合力。要上下联动，一级抓一级，层层抓落实，层层传导压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楷体_GB2312"/>
          <w:color w:val="000000"/>
          <w:kern w:val="0"/>
          <w:sz w:val="32"/>
          <w:szCs w:val="32"/>
        </w:rPr>
        <w:t>（二）建立隐患台账。</w:t>
      </w:r>
      <w:r>
        <w:rPr>
          <w:rFonts w:eastAsia="仿宋_GB2312"/>
          <w:color w:val="000000"/>
          <w:kern w:val="0"/>
          <w:sz w:val="32"/>
          <w:szCs w:val="32"/>
        </w:rPr>
        <w:t>要结合工作实际建立森林火灾隐患台账，对排查出的隐患分类整改，逐步推进，实行挂账销号制。对能够快速整改的隐患即知即改、立行立改；对能够采取措施、年内完成整改的隐患积极推进、限时整改；对推进困难、长期存在的隐患深入研究、制定步骤，长期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楷体_GB2312"/>
          <w:color w:val="000000"/>
          <w:kern w:val="0"/>
          <w:sz w:val="32"/>
          <w:szCs w:val="32"/>
        </w:rPr>
        <w:t>（三）务求治理实效。</w:t>
      </w:r>
      <w:r>
        <w:rPr>
          <w:rFonts w:eastAsia="仿宋_GB2312"/>
          <w:color w:val="000000"/>
          <w:kern w:val="0"/>
          <w:sz w:val="32"/>
          <w:szCs w:val="32"/>
        </w:rPr>
        <w:t>要狠抓过程控制，做到治理整改、执法查处、督促指导贯穿专项行动全过程。要切实改进作风，力戒形式主义，对隐患问题盯住不放，坚决杜绝隐患边治理、火灾边爆发。要组织力量深入一线加强指导，发现问题及时整改。此次专项行动将作为2022年我区森林防灭火督查重要内容予以检查督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楷体_GB2312"/>
          <w:color w:val="000000"/>
          <w:kern w:val="0"/>
          <w:sz w:val="32"/>
          <w:szCs w:val="32"/>
        </w:rPr>
        <w:t>（四）强化警示教育。</w:t>
      </w:r>
      <w:r>
        <w:rPr>
          <w:rFonts w:eastAsia="仿宋_GB2312"/>
          <w:color w:val="000000"/>
          <w:kern w:val="0"/>
          <w:sz w:val="32"/>
          <w:szCs w:val="32"/>
        </w:rPr>
        <w:t>要及时曝光火灾肇事者和违规用火处罚案例，发现一起、查处一起、曝光一起、震慑一片，提升群众法制观念和防火自觉。要大力推行《蓟州区森林防火违法行为举报奖励办法》，广泛依靠群众、发动群众，筑牢火灾防控人民防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楷体_GB2312"/>
          <w:color w:val="000000"/>
          <w:kern w:val="0"/>
          <w:sz w:val="32"/>
          <w:szCs w:val="32"/>
        </w:rPr>
        <w:t>（五）加强信息报送。</w:t>
      </w:r>
      <w:r>
        <w:rPr>
          <w:rFonts w:eastAsia="仿宋_GB2312"/>
          <w:color w:val="000000"/>
          <w:kern w:val="0"/>
          <w:sz w:val="32"/>
          <w:szCs w:val="32"/>
        </w:rPr>
        <w:t>请区</w:t>
      </w:r>
      <w:r>
        <w:rPr>
          <w:rFonts w:hint="eastAsia" w:eastAsia="仿宋_GB2312"/>
          <w:color w:val="000000"/>
          <w:kern w:val="0"/>
          <w:sz w:val="32"/>
          <w:szCs w:val="32"/>
        </w:rPr>
        <w:t>应急局</w:t>
      </w:r>
      <w:r>
        <w:rPr>
          <w:rFonts w:eastAsia="仿宋_GB2312"/>
          <w:color w:val="000000"/>
          <w:kern w:val="0"/>
          <w:sz w:val="32"/>
          <w:szCs w:val="32"/>
        </w:rPr>
        <w:t>、公安蓟州分局、各乡镇、有林单位严格按照时间要求，将下述材料加盖公章后，将扫描件和电子版通过政务邮箱报区林业局：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1、5月18日前报送专项行动情况统计表（见附件1）和森林火灾隐患排查整治台账（见附件2）；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2、12月6日前报送专项行动工作总结及更新后的情况统计表和隐患排查整治台账。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color w:val="000000"/>
          <w:kern w:val="0"/>
          <w:sz w:val="32"/>
          <w:szCs w:val="32"/>
        </w:rPr>
        <w:t>附件：1．专项行动情况统计表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eastAsia="仿宋_GB2312"/>
          <w:color w:val="000000"/>
          <w:kern w:val="0"/>
          <w:sz w:val="32"/>
          <w:szCs w:val="32"/>
        </w:rPr>
      </w:pPr>
      <w:r>
        <w:rPr>
          <w:rFonts w:eastAsia="仿宋_GB2312"/>
          <w:color w:val="000000"/>
          <w:kern w:val="0"/>
          <w:sz w:val="32"/>
          <w:szCs w:val="32"/>
        </w:rPr>
        <w:t>2．森林火灾隐患排查整治台账</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区森林防灭火指挥部办公室        区林业局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公安蓟州分局</w:t>
      </w:r>
      <w:r>
        <w:rPr>
          <w:rFonts w:hint="eastAsia" w:eastAsia="仿宋_GB2312"/>
          <w:color w:val="000000"/>
          <w:kern w:val="0"/>
          <w:sz w:val="32"/>
          <w:szCs w:val="32"/>
          <w:lang w:val="en-US" w:eastAsia="zh-CN"/>
        </w:rPr>
        <w:t xml:space="preserve">                     </w:t>
      </w:r>
      <w:r>
        <w:rPr>
          <w:rFonts w:eastAsia="仿宋_GB2312"/>
          <w:color w:val="000000"/>
          <w:kern w:val="0"/>
          <w:sz w:val="32"/>
          <w:szCs w:val="32"/>
        </w:rPr>
        <w:t>区应急局</w:t>
      </w:r>
    </w:p>
    <w:p>
      <w:pPr>
        <w:pStyle w:val="2"/>
        <w:rPr>
          <w:rFonts w:eastAsia="仿宋_GB2312"/>
          <w:color w:val="000000"/>
          <w:kern w:val="0"/>
          <w:sz w:val="32"/>
          <w:szCs w:val="32"/>
        </w:rPr>
      </w:pPr>
    </w:p>
    <w:p>
      <w:pPr>
        <w:pStyle w:val="2"/>
        <w:rPr>
          <w:rFonts w:eastAsia="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contextualSpacing/>
        <w:textAlignment w:val="auto"/>
        <w:rPr>
          <w:rFonts w:eastAsia="仿宋_GB2312"/>
          <w:sz w:val="32"/>
          <w:szCs w:val="32"/>
        </w:rPr>
      </w:pPr>
      <w:r>
        <w:rPr>
          <w:rFonts w:eastAsia="仿宋_GB2312"/>
          <w:sz w:val="32"/>
          <w:szCs w:val="32"/>
        </w:rPr>
        <w:t>2022年4月2</w:t>
      </w:r>
      <w:r>
        <w:rPr>
          <w:rFonts w:hint="eastAsia" w:eastAsia="仿宋_GB2312"/>
          <w:sz w:val="32"/>
          <w:szCs w:val="32"/>
          <w:lang w:val="en-US" w:eastAsia="zh-CN"/>
        </w:rPr>
        <w:t>7</w:t>
      </w:r>
      <w:r>
        <w:rPr>
          <w:rFonts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w:t>
      </w:r>
      <w:r>
        <w:rPr>
          <w:rFonts w:eastAsia="仿宋_GB2312"/>
          <w:color w:val="000000"/>
          <w:kern w:val="0"/>
          <w:sz w:val="32"/>
          <w:szCs w:val="32"/>
        </w:rPr>
        <w:t>联系人：区林业局森林防火科乔丽娟</w:t>
      </w:r>
      <w:r>
        <w:rPr>
          <w:rFonts w:hint="eastAsia" w:eastAsia="仿宋_GB2312"/>
          <w:color w:val="000000"/>
          <w:kern w:val="0"/>
          <w:sz w:val="32"/>
          <w:szCs w:val="32"/>
          <w:lang w:eastAsia="zh-CN"/>
        </w:rPr>
        <w:t>；联系</w:t>
      </w:r>
      <w:r>
        <w:rPr>
          <w:rFonts w:eastAsia="仿宋_GB2312"/>
          <w:color w:val="000000"/>
          <w:kern w:val="0"/>
          <w:sz w:val="32"/>
          <w:szCs w:val="32"/>
        </w:rPr>
        <w:t>电话：29700823</w:t>
      </w:r>
      <w:r>
        <w:rPr>
          <w:rFonts w:hint="eastAsia" w:eastAsia="仿宋_GB2312"/>
          <w:color w:val="000000"/>
          <w:kern w:val="0"/>
          <w:sz w:val="32"/>
          <w:szCs w:val="32"/>
          <w:lang w:eastAsia="zh-CN"/>
        </w:rPr>
        <w:t>；</w:t>
      </w:r>
    </w:p>
    <w:p>
      <w:pPr>
        <w:widowControl/>
        <w:spacing w:line="560" w:lineRule="exact"/>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政务</w:t>
      </w:r>
      <w:r>
        <w:rPr>
          <w:rFonts w:eastAsia="仿宋_GB2312"/>
          <w:color w:val="000000"/>
          <w:kern w:val="0"/>
          <w:sz w:val="32"/>
          <w:szCs w:val="32"/>
        </w:rPr>
        <w:t>邮</w:t>
      </w:r>
      <w:r>
        <w:rPr>
          <w:rFonts w:eastAsia="仿宋_GB2312"/>
          <w:color w:val="auto"/>
          <w:kern w:val="0"/>
          <w:sz w:val="32"/>
          <w:szCs w:val="32"/>
          <w:u w:val="none"/>
        </w:rPr>
        <w:t>箱：</w:t>
      </w:r>
      <w:r>
        <w:rPr>
          <w:rFonts w:eastAsia="仿宋_GB2312"/>
          <w:color w:val="auto"/>
          <w:kern w:val="0"/>
          <w:sz w:val="32"/>
          <w:szCs w:val="32"/>
          <w:u w:val="none"/>
        </w:rPr>
        <w:fldChar w:fldCharType="begin"/>
      </w:r>
      <w:r>
        <w:rPr>
          <w:rFonts w:eastAsia="仿宋_GB2312"/>
          <w:color w:val="auto"/>
          <w:kern w:val="0"/>
          <w:sz w:val="32"/>
          <w:szCs w:val="32"/>
          <w:u w:val="none"/>
        </w:rPr>
        <w:instrText xml:space="preserve"> HYPERLINK "mailto:jzqlyj05@tj.gov.cn）" </w:instrText>
      </w:r>
      <w:r>
        <w:rPr>
          <w:rFonts w:eastAsia="仿宋_GB2312"/>
          <w:color w:val="auto"/>
          <w:kern w:val="0"/>
          <w:sz w:val="32"/>
          <w:szCs w:val="32"/>
          <w:u w:val="none"/>
        </w:rPr>
        <w:fldChar w:fldCharType="separate"/>
      </w:r>
      <w:r>
        <w:rPr>
          <w:rStyle w:val="8"/>
          <w:rFonts w:eastAsia="仿宋_GB2312"/>
          <w:color w:val="auto"/>
          <w:kern w:val="0"/>
          <w:sz w:val="32"/>
          <w:szCs w:val="32"/>
          <w:u w:val="none"/>
        </w:rPr>
        <w:t>jzqlyj05@tj.gov.cn</w:t>
      </w:r>
      <w:r>
        <w:rPr>
          <w:rStyle w:val="8"/>
          <w:rFonts w:hint="eastAsia" w:eastAsia="仿宋_GB2312"/>
          <w:color w:val="auto"/>
          <w:kern w:val="0"/>
          <w:sz w:val="32"/>
          <w:szCs w:val="32"/>
          <w:u w:val="none"/>
          <w:lang w:eastAsia="zh-CN"/>
        </w:rPr>
        <w:t>）</w:t>
      </w:r>
      <w:r>
        <w:rPr>
          <w:rFonts w:eastAsia="仿宋_GB2312"/>
          <w:color w:val="auto"/>
          <w:kern w:val="0"/>
          <w:sz w:val="32"/>
          <w:szCs w:val="32"/>
          <w:u w:val="none"/>
        </w:rPr>
        <w:fldChar w:fldCharType="end"/>
      </w:r>
    </w:p>
    <w:p>
      <w:pPr>
        <w:widowControl/>
        <w:spacing w:line="560" w:lineRule="exact"/>
        <w:jc w:val="left"/>
        <w:rPr>
          <w:rFonts w:eastAsia="黑体"/>
          <w:color w:val="000000"/>
          <w:kern w:val="0"/>
          <w:sz w:val="32"/>
          <w:szCs w:val="32"/>
        </w:rPr>
      </w:pPr>
    </w:p>
    <w:p>
      <w:pPr>
        <w:widowControl/>
        <w:spacing w:line="560" w:lineRule="exact"/>
        <w:jc w:val="left"/>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pStyle w:val="2"/>
        <w:rPr>
          <w:rFonts w:eastAsia="黑体"/>
          <w:color w:val="000000"/>
          <w:kern w:val="0"/>
          <w:sz w:val="32"/>
          <w:szCs w:val="32"/>
        </w:rPr>
      </w:pPr>
    </w:p>
    <w:p>
      <w:pPr>
        <w:widowControl/>
        <w:spacing w:line="560" w:lineRule="exact"/>
        <w:jc w:val="left"/>
        <w:rPr>
          <w:rFonts w:eastAsia="黑体"/>
          <w:color w:val="000000"/>
          <w:kern w:val="0"/>
          <w:sz w:val="32"/>
          <w:szCs w:val="32"/>
        </w:rPr>
      </w:pPr>
      <w:r>
        <w:rPr>
          <w:rFonts w:eastAsia="黑体"/>
          <w:color w:val="000000"/>
          <w:kern w:val="0"/>
          <w:sz w:val="32"/>
          <w:szCs w:val="32"/>
        </w:rPr>
        <w:t>附件</w:t>
      </w:r>
      <w:r>
        <w:rPr>
          <w:rFonts w:eastAsia="仿宋_GB2312"/>
          <w:color w:val="000000"/>
          <w:kern w:val="0"/>
          <w:sz w:val="32"/>
          <w:szCs w:val="32"/>
        </w:rPr>
        <w:t>1</w:t>
      </w:r>
    </w:p>
    <w:p>
      <w:pPr>
        <w:widowControl/>
        <w:spacing w:line="560" w:lineRule="exact"/>
        <w:jc w:val="center"/>
        <w:rPr>
          <w:rFonts w:eastAsia="方正小标宋简体"/>
          <w:color w:val="373737"/>
          <w:kern w:val="0"/>
          <w:sz w:val="44"/>
          <w:szCs w:val="44"/>
        </w:rPr>
      </w:pPr>
      <w:r>
        <w:rPr>
          <w:rFonts w:eastAsia="方正小标宋简体"/>
          <w:color w:val="000000"/>
          <w:kern w:val="0"/>
          <w:sz w:val="44"/>
          <w:szCs w:val="44"/>
        </w:rPr>
        <w:t>专项行动情况统计表</w:t>
      </w:r>
    </w:p>
    <w:tbl>
      <w:tblPr>
        <w:tblStyle w:val="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350"/>
        <w:gridCol w:w="2275"/>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黑体"/>
                <w:color w:val="373737"/>
                <w:kern w:val="0"/>
                <w:sz w:val="30"/>
                <w:szCs w:val="30"/>
              </w:rPr>
              <w:t>单位名称</w:t>
            </w:r>
          </w:p>
        </w:tc>
        <w:tc>
          <w:tcPr>
            <w:tcW w:w="2350"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c>
          <w:tcPr>
            <w:tcW w:w="5437"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color w:val="373737"/>
                <w:kern w:val="0"/>
                <w:sz w:val="30"/>
                <w:szCs w:val="30"/>
              </w:rPr>
            </w:pPr>
            <w:r>
              <w:rPr>
                <w:rFonts w:eastAsia="黑体"/>
                <w:color w:val="373737"/>
                <w:kern w:val="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制定专项行动方案(个)</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派出检查组数量(个)</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出动人员数量(人次)</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排查火灾隐患(处)</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发放整改通知书(份)</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建立火灾隐患排查整治台账</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整改火灾隐患(处)</w:t>
            </w:r>
          </w:p>
        </w:tc>
        <w:tc>
          <w:tcPr>
            <w:tcW w:w="5437" w:type="dxa"/>
            <w:gridSpan w:val="2"/>
            <w:noWra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受理案件数量（起）</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总数</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行政案件</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刑事案件</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查处/破获案件数量（起）</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总数</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行政案件</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刑事案件</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打击处理和教育人员（人次）</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总数</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行政处罚</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刑事拘留</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color w:val="373737"/>
                <w:kern w:val="0"/>
                <w:sz w:val="30"/>
                <w:szCs w:val="30"/>
              </w:rPr>
            </w:pPr>
            <w:r>
              <w:rPr>
                <w:rFonts w:eastAsia="仿宋_GB2312"/>
                <w:color w:val="373737"/>
                <w:kern w:val="0"/>
                <w:sz w:val="30"/>
                <w:szCs w:val="30"/>
              </w:rPr>
              <w:t>逮捕</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移送起诉</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教育、劝阻人员</w:t>
            </w: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罚款金额（元）</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追责问责人员（人）</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96"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r>
              <w:rPr>
                <w:rFonts w:eastAsia="仿宋_GB2312"/>
                <w:color w:val="373737"/>
                <w:kern w:val="0"/>
                <w:sz w:val="30"/>
                <w:szCs w:val="30"/>
              </w:rPr>
              <w:t>其他成效</w:t>
            </w:r>
          </w:p>
        </w:tc>
        <w:tc>
          <w:tcPr>
            <w:tcW w:w="227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c>
          <w:tcPr>
            <w:tcW w:w="316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373737"/>
                <w:kern w:val="0"/>
                <w:sz w:val="30"/>
                <w:szCs w:val="30"/>
              </w:rPr>
            </w:pPr>
          </w:p>
        </w:tc>
      </w:tr>
    </w:tbl>
    <w:p>
      <w:pPr>
        <w:widowControl/>
        <w:spacing w:line="560" w:lineRule="exact"/>
        <w:jc w:val="left"/>
        <w:rPr>
          <w:rFonts w:eastAsia="仿宋_GB2312"/>
          <w:color w:val="000000"/>
          <w:kern w:val="0"/>
          <w:sz w:val="32"/>
          <w:szCs w:val="32"/>
        </w:rPr>
        <w:sectPr>
          <w:footerReference r:id="rId3" w:type="default"/>
          <w:pgSz w:w="11906" w:h="16838"/>
          <w:pgMar w:top="2098" w:right="1474" w:bottom="1984" w:left="1587" w:header="851" w:footer="992" w:gutter="0"/>
          <w:cols w:space="425" w:num="1"/>
          <w:docGrid w:type="lines" w:linePitch="312" w:charSpace="0"/>
        </w:sectPr>
      </w:pPr>
    </w:p>
    <w:p>
      <w:pPr>
        <w:widowControl/>
        <w:spacing w:line="560" w:lineRule="exact"/>
        <w:jc w:val="left"/>
        <w:rPr>
          <w:rFonts w:eastAsia="黑体"/>
          <w:color w:val="000000"/>
          <w:kern w:val="0"/>
          <w:sz w:val="32"/>
          <w:szCs w:val="32"/>
        </w:rPr>
      </w:pPr>
      <w:r>
        <w:rPr>
          <w:rFonts w:eastAsia="黑体"/>
          <w:color w:val="000000"/>
          <w:kern w:val="0"/>
          <w:sz w:val="32"/>
          <w:szCs w:val="32"/>
        </w:rPr>
        <w:t>附件</w:t>
      </w:r>
      <w:r>
        <w:rPr>
          <w:rFonts w:eastAsia="仿宋_GB2312"/>
          <w:color w:val="000000"/>
          <w:kern w:val="0"/>
          <w:sz w:val="32"/>
          <w:szCs w:val="32"/>
        </w:rPr>
        <w:t>2</w:t>
      </w:r>
    </w:p>
    <w:p>
      <w:pPr>
        <w:spacing w:line="560" w:lineRule="exact"/>
        <w:jc w:val="center"/>
        <w:rPr>
          <w:rFonts w:eastAsia="方正小标宋简体"/>
          <w:color w:val="000000"/>
          <w:kern w:val="0"/>
          <w:sz w:val="44"/>
          <w:szCs w:val="44"/>
        </w:rPr>
      </w:pPr>
      <w:r>
        <w:rPr>
          <w:rFonts w:eastAsia="方正小标宋简体"/>
          <w:color w:val="000000"/>
          <w:kern w:val="0"/>
          <w:sz w:val="44"/>
          <w:szCs w:val="44"/>
        </w:rPr>
        <w:t>森林火灾隐患排查整治台账</w:t>
      </w:r>
    </w:p>
    <w:p>
      <w:pPr>
        <w:spacing w:line="560" w:lineRule="exact"/>
        <w:rPr>
          <w:rFonts w:eastAsia="仿宋_GB2312"/>
          <w:color w:val="000000"/>
          <w:kern w:val="0"/>
          <w:sz w:val="32"/>
          <w:szCs w:val="32"/>
        </w:rPr>
      </w:pPr>
    </w:p>
    <w:p>
      <w:pPr>
        <w:spacing w:line="560" w:lineRule="exact"/>
        <w:ind w:firstLine="640" w:firstLineChars="200"/>
        <w:rPr>
          <w:rFonts w:eastAsia="黑体"/>
          <w:color w:val="000000"/>
          <w:kern w:val="0"/>
          <w:sz w:val="32"/>
          <w:szCs w:val="32"/>
        </w:rPr>
      </w:pPr>
      <w:r>
        <w:rPr>
          <w:rFonts w:eastAsia="黑体"/>
          <w:color w:val="000000"/>
          <w:kern w:val="0"/>
          <w:sz w:val="32"/>
          <w:szCs w:val="32"/>
        </w:rPr>
        <w:t>填报单位（盖章）：                                       填报时间：</w:t>
      </w:r>
    </w:p>
    <w:tbl>
      <w:tblPr>
        <w:tblStyle w:val="6"/>
        <w:tblW w:w="1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5"/>
        <w:gridCol w:w="2109"/>
        <w:gridCol w:w="2700"/>
        <w:gridCol w:w="2688"/>
        <w:gridCol w:w="167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84"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火灾隐患名称</w:t>
            </w:r>
          </w:p>
        </w:tc>
        <w:tc>
          <w:tcPr>
            <w:tcW w:w="2085"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隐患具体描述</w:t>
            </w:r>
          </w:p>
        </w:tc>
        <w:tc>
          <w:tcPr>
            <w:tcW w:w="2109"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地点</w:t>
            </w:r>
          </w:p>
        </w:tc>
        <w:tc>
          <w:tcPr>
            <w:tcW w:w="2700"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隐患整改类别</w:t>
            </w:r>
          </w:p>
          <w:p>
            <w:pPr>
              <w:spacing w:line="320" w:lineRule="exact"/>
              <w:jc w:val="center"/>
              <w:rPr>
                <w:rFonts w:eastAsia="仿宋_GB2312"/>
                <w:color w:val="000000"/>
                <w:kern w:val="0"/>
                <w:sz w:val="28"/>
                <w:szCs w:val="28"/>
              </w:rPr>
            </w:pPr>
            <w:r>
              <w:rPr>
                <w:rFonts w:eastAsia="仿宋_GB2312"/>
                <w:color w:val="000000"/>
                <w:kern w:val="0"/>
                <w:sz w:val="28"/>
                <w:szCs w:val="28"/>
              </w:rPr>
              <w:t>（立即整改、限期整改、长期推进）</w:t>
            </w:r>
          </w:p>
        </w:tc>
        <w:tc>
          <w:tcPr>
            <w:tcW w:w="2688"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整改时限（已完成、</w:t>
            </w:r>
          </w:p>
          <w:p>
            <w:pPr>
              <w:spacing w:line="320" w:lineRule="exact"/>
              <w:jc w:val="center"/>
              <w:rPr>
                <w:rFonts w:eastAsia="仿宋_GB2312"/>
                <w:color w:val="000000"/>
                <w:kern w:val="0"/>
                <w:sz w:val="28"/>
                <w:szCs w:val="28"/>
              </w:rPr>
            </w:pPr>
            <w:r>
              <w:rPr>
                <w:rFonts w:eastAsia="仿宋_GB2312"/>
                <w:color w:val="000000"/>
                <w:kern w:val="0"/>
                <w:sz w:val="28"/>
                <w:szCs w:val="28"/>
              </w:rPr>
              <w:t>整改预计完成时间）</w:t>
            </w:r>
          </w:p>
        </w:tc>
        <w:tc>
          <w:tcPr>
            <w:tcW w:w="1675"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责任人</w:t>
            </w:r>
          </w:p>
        </w:tc>
        <w:tc>
          <w:tcPr>
            <w:tcW w:w="1253" w:type="dxa"/>
            <w:vAlign w:val="center"/>
          </w:tcPr>
          <w:p>
            <w:pPr>
              <w:spacing w:line="320" w:lineRule="exact"/>
              <w:jc w:val="center"/>
              <w:rPr>
                <w:rFonts w:eastAsia="仿宋_GB2312"/>
                <w:color w:val="000000"/>
                <w:kern w:val="0"/>
                <w:sz w:val="28"/>
                <w:szCs w:val="28"/>
              </w:rPr>
            </w:pPr>
            <w:r>
              <w:rPr>
                <w:rFonts w:eastAsia="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84" w:type="dxa"/>
          </w:tcPr>
          <w:p>
            <w:pPr>
              <w:spacing w:line="560" w:lineRule="exact"/>
              <w:rPr>
                <w:rFonts w:eastAsia="仿宋_GB2312"/>
                <w:color w:val="000000"/>
                <w:kern w:val="0"/>
                <w:sz w:val="28"/>
                <w:szCs w:val="28"/>
              </w:rPr>
            </w:pPr>
          </w:p>
        </w:tc>
        <w:tc>
          <w:tcPr>
            <w:tcW w:w="2085" w:type="dxa"/>
          </w:tcPr>
          <w:p>
            <w:pPr>
              <w:spacing w:line="560" w:lineRule="exact"/>
              <w:rPr>
                <w:rFonts w:eastAsia="仿宋_GB2312"/>
                <w:color w:val="000000"/>
                <w:kern w:val="0"/>
                <w:sz w:val="28"/>
                <w:szCs w:val="28"/>
              </w:rPr>
            </w:pPr>
          </w:p>
        </w:tc>
        <w:tc>
          <w:tcPr>
            <w:tcW w:w="2109" w:type="dxa"/>
          </w:tcPr>
          <w:p>
            <w:pPr>
              <w:spacing w:line="560" w:lineRule="exact"/>
              <w:rPr>
                <w:rFonts w:eastAsia="仿宋_GB2312"/>
                <w:color w:val="000000"/>
                <w:kern w:val="0"/>
                <w:sz w:val="28"/>
                <w:szCs w:val="28"/>
              </w:rPr>
            </w:pPr>
          </w:p>
        </w:tc>
        <w:tc>
          <w:tcPr>
            <w:tcW w:w="2700" w:type="dxa"/>
          </w:tcPr>
          <w:p>
            <w:pPr>
              <w:spacing w:line="560" w:lineRule="exact"/>
              <w:rPr>
                <w:rFonts w:eastAsia="仿宋_GB2312"/>
                <w:color w:val="000000"/>
                <w:kern w:val="0"/>
                <w:sz w:val="28"/>
                <w:szCs w:val="28"/>
              </w:rPr>
            </w:pPr>
          </w:p>
        </w:tc>
        <w:tc>
          <w:tcPr>
            <w:tcW w:w="2688" w:type="dxa"/>
          </w:tcPr>
          <w:p>
            <w:pPr>
              <w:spacing w:line="560" w:lineRule="exact"/>
              <w:rPr>
                <w:rFonts w:eastAsia="仿宋_GB2312"/>
                <w:color w:val="000000"/>
                <w:kern w:val="0"/>
                <w:sz w:val="28"/>
                <w:szCs w:val="28"/>
              </w:rPr>
            </w:pPr>
          </w:p>
        </w:tc>
        <w:tc>
          <w:tcPr>
            <w:tcW w:w="1675" w:type="dxa"/>
          </w:tcPr>
          <w:p>
            <w:pPr>
              <w:spacing w:line="560" w:lineRule="exact"/>
              <w:rPr>
                <w:rFonts w:eastAsia="仿宋_GB2312"/>
                <w:color w:val="000000"/>
                <w:kern w:val="0"/>
                <w:sz w:val="28"/>
                <w:szCs w:val="28"/>
              </w:rPr>
            </w:pPr>
          </w:p>
        </w:tc>
        <w:tc>
          <w:tcPr>
            <w:tcW w:w="1253" w:type="dxa"/>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84" w:type="dxa"/>
          </w:tcPr>
          <w:p>
            <w:pPr>
              <w:spacing w:line="560" w:lineRule="exact"/>
              <w:rPr>
                <w:rFonts w:eastAsia="仿宋_GB2312"/>
                <w:color w:val="000000"/>
                <w:kern w:val="0"/>
                <w:sz w:val="28"/>
                <w:szCs w:val="28"/>
              </w:rPr>
            </w:pPr>
          </w:p>
        </w:tc>
        <w:tc>
          <w:tcPr>
            <w:tcW w:w="2085" w:type="dxa"/>
          </w:tcPr>
          <w:p>
            <w:pPr>
              <w:spacing w:line="560" w:lineRule="exact"/>
              <w:rPr>
                <w:rFonts w:eastAsia="仿宋_GB2312"/>
                <w:color w:val="000000"/>
                <w:kern w:val="0"/>
                <w:sz w:val="28"/>
                <w:szCs w:val="28"/>
              </w:rPr>
            </w:pPr>
          </w:p>
        </w:tc>
        <w:tc>
          <w:tcPr>
            <w:tcW w:w="2109" w:type="dxa"/>
          </w:tcPr>
          <w:p>
            <w:pPr>
              <w:spacing w:line="560" w:lineRule="exact"/>
              <w:rPr>
                <w:rFonts w:eastAsia="仿宋_GB2312"/>
                <w:color w:val="000000"/>
                <w:kern w:val="0"/>
                <w:sz w:val="28"/>
                <w:szCs w:val="28"/>
              </w:rPr>
            </w:pPr>
          </w:p>
        </w:tc>
        <w:tc>
          <w:tcPr>
            <w:tcW w:w="2700" w:type="dxa"/>
          </w:tcPr>
          <w:p>
            <w:pPr>
              <w:spacing w:line="560" w:lineRule="exact"/>
              <w:rPr>
                <w:rFonts w:eastAsia="仿宋_GB2312"/>
                <w:color w:val="000000"/>
                <w:kern w:val="0"/>
                <w:sz w:val="28"/>
                <w:szCs w:val="28"/>
              </w:rPr>
            </w:pPr>
          </w:p>
        </w:tc>
        <w:tc>
          <w:tcPr>
            <w:tcW w:w="2688" w:type="dxa"/>
          </w:tcPr>
          <w:p>
            <w:pPr>
              <w:spacing w:line="560" w:lineRule="exact"/>
              <w:rPr>
                <w:rFonts w:eastAsia="仿宋_GB2312"/>
                <w:color w:val="000000"/>
                <w:kern w:val="0"/>
                <w:sz w:val="28"/>
                <w:szCs w:val="28"/>
              </w:rPr>
            </w:pPr>
          </w:p>
        </w:tc>
        <w:tc>
          <w:tcPr>
            <w:tcW w:w="1675" w:type="dxa"/>
          </w:tcPr>
          <w:p>
            <w:pPr>
              <w:spacing w:line="560" w:lineRule="exact"/>
              <w:rPr>
                <w:rFonts w:eastAsia="仿宋_GB2312"/>
                <w:color w:val="000000"/>
                <w:kern w:val="0"/>
                <w:sz w:val="28"/>
                <w:szCs w:val="28"/>
              </w:rPr>
            </w:pPr>
          </w:p>
        </w:tc>
        <w:tc>
          <w:tcPr>
            <w:tcW w:w="1253" w:type="dxa"/>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4" w:type="dxa"/>
          </w:tcPr>
          <w:p>
            <w:pPr>
              <w:spacing w:line="560" w:lineRule="exact"/>
              <w:rPr>
                <w:rFonts w:eastAsia="仿宋_GB2312"/>
                <w:color w:val="000000"/>
                <w:kern w:val="0"/>
                <w:sz w:val="28"/>
                <w:szCs w:val="28"/>
              </w:rPr>
            </w:pPr>
          </w:p>
        </w:tc>
        <w:tc>
          <w:tcPr>
            <w:tcW w:w="2085" w:type="dxa"/>
          </w:tcPr>
          <w:p>
            <w:pPr>
              <w:spacing w:line="560" w:lineRule="exact"/>
              <w:rPr>
                <w:rFonts w:eastAsia="仿宋_GB2312"/>
                <w:color w:val="000000"/>
                <w:kern w:val="0"/>
                <w:sz w:val="28"/>
                <w:szCs w:val="28"/>
              </w:rPr>
            </w:pPr>
          </w:p>
        </w:tc>
        <w:tc>
          <w:tcPr>
            <w:tcW w:w="2109" w:type="dxa"/>
          </w:tcPr>
          <w:p>
            <w:pPr>
              <w:spacing w:line="560" w:lineRule="exact"/>
              <w:rPr>
                <w:rFonts w:eastAsia="仿宋_GB2312"/>
                <w:color w:val="000000"/>
                <w:kern w:val="0"/>
                <w:sz w:val="28"/>
                <w:szCs w:val="28"/>
              </w:rPr>
            </w:pPr>
          </w:p>
        </w:tc>
        <w:tc>
          <w:tcPr>
            <w:tcW w:w="2700" w:type="dxa"/>
          </w:tcPr>
          <w:p>
            <w:pPr>
              <w:spacing w:line="560" w:lineRule="exact"/>
              <w:rPr>
                <w:rFonts w:eastAsia="仿宋_GB2312"/>
                <w:color w:val="000000"/>
                <w:kern w:val="0"/>
                <w:sz w:val="28"/>
                <w:szCs w:val="28"/>
              </w:rPr>
            </w:pPr>
          </w:p>
        </w:tc>
        <w:tc>
          <w:tcPr>
            <w:tcW w:w="2688" w:type="dxa"/>
          </w:tcPr>
          <w:p>
            <w:pPr>
              <w:spacing w:line="560" w:lineRule="exact"/>
              <w:rPr>
                <w:rFonts w:eastAsia="仿宋_GB2312"/>
                <w:color w:val="000000"/>
                <w:kern w:val="0"/>
                <w:sz w:val="28"/>
                <w:szCs w:val="28"/>
              </w:rPr>
            </w:pPr>
          </w:p>
        </w:tc>
        <w:tc>
          <w:tcPr>
            <w:tcW w:w="1675" w:type="dxa"/>
          </w:tcPr>
          <w:p>
            <w:pPr>
              <w:spacing w:line="560" w:lineRule="exact"/>
              <w:rPr>
                <w:rFonts w:eastAsia="仿宋_GB2312"/>
                <w:color w:val="000000"/>
                <w:kern w:val="0"/>
                <w:sz w:val="28"/>
                <w:szCs w:val="28"/>
              </w:rPr>
            </w:pPr>
          </w:p>
        </w:tc>
        <w:tc>
          <w:tcPr>
            <w:tcW w:w="1253" w:type="dxa"/>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84" w:type="dxa"/>
          </w:tcPr>
          <w:p>
            <w:pPr>
              <w:spacing w:line="560" w:lineRule="exact"/>
              <w:rPr>
                <w:rFonts w:eastAsia="仿宋_GB2312"/>
                <w:color w:val="000000"/>
                <w:kern w:val="0"/>
                <w:sz w:val="28"/>
                <w:szCs w:val="28"/>
              </w:rPr>
            </w:pPr>
          </w:p>
        </w:tc>
        <w:tc>
          <w:tcPr>
            <w:tcW w:w="2085" w:type="dxa"/>
          </w:tcPr>
          <w:p>
            <w:pPr>
              <w:spacing w:line="560" w:lineRule="exact"/>
              <w:rPr>
                <w:rFonts w:eastAsia="仿宋_GB2312"/>
                <w:color w:val="000000"/>
                <w:kern w:val="0"/>
                <w:sz w:val="28"/>
                <w:szCs w:val="28"/>
              </w:rPr>
            </w:pPr>
          </w:p>
        </w:tc>
        <w:tc>
          <w:tcPr>
            <w:tcW w:w="2109" w:type="dxa"/>
          </w:tcPr>
          <w:p>
            <w:pPr>
              <w:spacing w:line="560" w:lineRule="exact"/>
              <w:rPr>
                <w:rFonts w:eastAsia="仿宋_GB2312"/>
                <w:color w:val="000000"/>
                <w:kern w:val="0"/>
                <w:sz w:val="28"/>
                <w:szCs w:val="28"/>
              </w:rPr>
            </w:pPr>
          </w:p>
        </w:tc>
        <w:tc>
          <w:tcPr>
            <w:tcW w:w="2700" w:type="dxa"/>
          </w:tcPr>
          <w:p>
            <w:pPr>
              <w:spacing w:line="560" w:lineRule="exact"/>
              <w:rPr>
                <w:rFonts w:eastAsia="仿宋_GB2312"/>
                <w:color w:val="000000"/>
                <w:kern w:val="0"/>
                <w:sz w:val="28"/>
                <w:szCs w:val="28"/>
              </w:rPr>
            </w:pPr>
          </w:p>
        </w:tc>
        <w:tc>
          <w:tcPr>
            <w:tcW w:w="2688" w:type="dxa"/>
          </w:tcPr>
          <w:p>
            <w:pPr>
              <w:spacing w:line="560" w:lineRule="exact"/>
              <w:rPr>
                <w:rFonts w:eastAsia="仿宋_GB2312"/>
                <w:color w:val="000000"/>
                <w:kern w:val="0"/>
                <w:sz w:val="28"/>
                <w:szCs w:val="28"/>
              </w:rPr>
            </w:pPr>
          </w:p>
        </w:tc>
        <w:tc>
          <w:tcPr>
            <w:tcW w:w="1675" w:type="dxa"/>
          </w:tcPr>
          <w:p>
            <w:pPr>
              <w:spacing w:line="560" w:lineRule="exact"/>
              <w:rPr>
                <w:rFonts w:eastAsia="仿宋_GB2312"/>
                <w:color w:val="000000"/>
                <w:kern w:val="0"/>
                <w:sz w:val="28"/>
                <w:szCs w:val="28"/>
              </w:rPr>
            </w:pPr>
          </w:p>
        </w:tc>
        <w:tc>
          <w:tcPr>
            <w:tcW w:w="1253" w:type="dxa"/>
          </w:tcPr>
          <w:p>
            <w:pPr>
              <w:spacing w:line="560" w:lineRule="exact"/>
              <w:rPr>
                <w:rFonts w:eastAsia="仿宋_GB2312"/>
                <w:color w:val="000000"/>
                <w:kern w:val="0"/>
                <w:sz w:val="28"/>
                <w:szCs w:val="28"/>
              </w:rPr>
            </w:pPr>
          </w:p>
        </w:tc>
      </w:tr>
    </w:tbl>
    <w:p>
      <w:pPr>
        <w:spacing w:line="560" w:lineRule="exact"/>
        <w:ind w:firstLine="960" w:firstLineChars="300"/>
        <w:rPr>
          <w:rFonts w:eastAsia="仿宋_GB2312"/>
          <w:color w:val="000000"/>
          <w:kern w:val="0"/>
          <w:sz w:val="32"/>
          <w:szCs w:val="32"/>
        </w:rPr>
      </w:pPr>
    </w:p>
    <w:sectPr>
      <w:pgSz w:w="16838" w:h="11906" w:orient="landscape"/>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420" w:rightChars="200" w:firstLine="360"/>
      <w:jc w:val="left"/>
      <w:rPr>
        <w:rFonts w:ascii="宋体" w:hAnsi="宋体" w:cs="宋体"/>
        <w:sz w:val="28"/>
        <w:szCs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38301"/>
    <w:multiLevelType w:val="singleLevel"/>
    <w:tmpl w:val="E7F38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42540B3"/>
    <w:rsid w:val="004F18EE"/>
    <w:rsid w:val="00EF39F8"/>
    <w:rsid w:val="00FD55BB"/>
    <w:rsid w:val="1DD737EE"/>
    <w:rsid w:val="27E2796C"/>
    <w:rsid w:val="293715E5"/>
    <w:rsid w:val="2A6E0264"/>
    <w:rsid w:val="3BB333B7"/>
    <w:rsid w:val="3D1E490E"/>
    <w:rsid w:val="3E4E133E"/>
    <w:rsid w:val="40AA0BC3"/>
    <w:rsid w:val="4FD30759"/>
    <w:rsid w:val="51E447B1"/>
    <w:rsid w:val="542540B3"/>
    <w:rsid w:val="55A75A01"/>
    <w:rsid w:val="56B761E1"/>
    <w:rsid w:val="5F6749DD"/>
    <w:rsid w:val="5FDB3EA6"/>
    <w:rsid w:val="67BE339A"/>
    <w:rsid w:val="6816069F"/>
    <w:rsid w:val="6CED3E70"/>
    <w:rsid w:val="6E3851B0"/>
    <w:rsid w:val="73F946A2"/>
    <w:rsid w:val="7617386F"/>
    <w:rsid w:val="77FFD145"/>
    <w:rsid w:val="7E3B0ADA"/>
    <w:rsid w:val="7EA7E5AB"/>
    <w:rsid w:val="7F9D4E73"/>
    <w:rsid w:val="7FAB1C04"/>
    <w:rsid w:val="7FEF00B7"/>
    <w:rsid w:val="EF70E6E7"/>
    <w:rsid w:val="EFFC7D5C"/>
    <w:rsid w:val="F75AE41A"/>
    <w:rsid w:val="FBFE4ADF"/>
    <w:rsid w:val="FEEBC9FB"/>
    <w:rsid w:val="FF9F4D06"/>
    <w:rsid w:val="FFB4F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458</Words>
  <Characters>2615</Characters>
  <Lines>21</Lines>
  <Paragraphs>6</Paragraphs>
  <TotalTime>7</TotalTime>
  <ScaleCrop>false</ScaleCrop>
  <LinksUpToDate>false</LinksUpToDate>
  <CharactersWithSpaces>3067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2022-04-27T14:39:00Z</dcterms:created>
  <dc:creator>春风十里不如你 จุ๊บ</dc:creator>
  <cp:lastModifiedBy>kylin</cp:lastModifiedBy>
  <dcterms:modified xsi:type="dcterms:W3CDTF">2022-11-08T11:00:02Z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76A1C76A2A774E728CBBE32939133B01</vt:lpwstr>
  </property>
  <property fmtid="{D5CDD505-2E9C-101B-9397-08002B2CF9AE}" pid="4" name="commondata">
    <vt:lpwstr>eyJoZGlkIjoiNjc5YWU0NjE1MzQ2NWM2YjNlZGU4MWIwNTEwOWRkNTIifQ==</vt:lpwstr>
  </property>
</Properties>
</file>