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7560"/>
        </w:tabs>
        <w:spacing w:line="520" w:lineRule="exact"/>
        <w:jc w:val="center"/>
        <w:rPr>
          <w:rFonts w:hint="eastAsia" w:eastAsia="方正小标宋_GBK"/>
          <w:sz w:val="44"/>
          <w:szCs w:val="44"/>
        </w:rPr>
      </w:pPr>
    </w:p>
    <w:p>
      <w:pPr>
        <w:spacing w:line="520" w:lineRule="exact"/>
        <w:jc w:val="center"/>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天津市蓟州区人民政府</w:t>
      </w:r>
      <w:r>
        <w:rPr>
          <w:rFonts w:hint="default" w:ascii="Times New Roman" w:hAnsi="Times New Roman" w:eastAsia="方正小标宋_GBK" w:cs="Times New Roman"/>
          <w:b w:val="0"/>
          <w:bCs w:val="0"/>
          <w:spacing w:val="0"/>
          <w:sz w:val="44"/>
          <w:szCs w:val="44"/>
          <w:lang w:eastAsia="zh-CN"/>
        </w:rPr>
        <w:t>办公室</w:t>
      </w:r>
      <w:r>
        <w:rPr>
          <w:rFonts w:hint="default" w:ascii="Times New Roman" w:hAnsi="Times New Roman" w:eastAsia="方正小标宋_GBK" w:cs="Times New Roman"/>
          <w:b w:val="0"/>
          <w:bCs w:val="0"/>
          <w:spacing w:val="0"/>
          <w:sz w:val="44"/>
          <w:szCs w:val="44"/>
        </w:rPr>
        <w:t>关于印发</w:t>
      </w:r>
    </w:p>
    <w:p>
      <w:pPr>
        <w:spacing w:line="520" w:lineRule="exact"/>
        <w:jc w:val="center"/>
        <w:rPr>
          <w:rFonts w:hint="default" w:ascii="Times New Roman" w:hAnsi="Times New Roman" w:eastAsia="方正小标宋_GBK" w:cs="Times New Roman"/>
          <w:b w:val="0"/>
          <w:bCs w:val="0"/>
          <w:spacing w:val="0"/>
          <w:sz w:val="44"/>
          <w:szCs w:val="44"/>
        </w:rPr>
      </w:pPr>
      <w:r>
        <w:rPr>
          <w:rFonts w:hint="default" w:ascii="Times New Roman" w:hAnsi="Times New Roman" w:eastAsia="方正小标宋_GBK" w:cs="Times New Roman"/>
          <w:b w:val="0"/>
          <w:bCs w:val="0"/>
          <w:spacing w:val="0"/>
          <w:sz w:val="44"/>
          <w:szCs w:val="44"/>
        </w:rPr>
        <w:t>蓟州区科技创新</w:t>
      </w:r>
      <w:r>
        <w:rPr>
          <w:rFonts w:hint="eastAsia" w:ascii="Times New Roman" w:hAnsi="Times New Roman" w:eastAsia="方正小标宋_GBK" w:cs="Times New Roman"/>
          <w:b w:val="0"/>
          <w:bCs w:val="0"/>
          <w:spacing w:val="0"/>
          <w:sz w:val="44"/>
          <w:szCs w:val="44"/>
          <w:lang w:eastAsia="zh-CN"/>
        </w:rPr>
        <w:t>“</w:t>
      </w:r>
      <w:r>
        <w:rPr>
          <w:rFonts w:hint="default" w:ascii="Times New Roman" w:hAnsi="Times New Roman" w:eastAsia="方正小标宋_GBK" w:cs="Times New Roman"/>
          <w:b w:val="0"/>
          <w:bCs w:val="0"/>
          <w:spacing w:val="0"/>
          <w:sz w:val="44"/>
          <w:szCs w:val="44"/>
        </w:rPr>
        <w:t>十四五</w:t>
      </w:r>
      <w:r>
        <w:rPr>
          <w:rFonts w:hint="eastAsia" w:ascii="Times New Roman" w:hAnsi="Times New Roman" w:eastAsia="方正小标宋_GBK" w:cs="Times New Roman"/>
          <w:b w:val="0"/>
          <w:bCs w:val="0"/>
          <w:spacing w:val="0"/>
          <w:sz w:val="44"/>
          <w:szCs w:val="44"/>
          <w:lang w:eastAsia="zh-CN"/>
        </w:rPr>
        <w:t>”</w:t>
      </w:r>
      <w:r>
        <w:rPr>
          <w:rFonts w:hint="default" w:ascii="Times New Roman" w:hAnsi="Times New Roman" w:eastAsia="方正小标宋_GBK" w:cs="Times New Roman"/>
          <w:b w:val="0"/>
          <w:bCs w:val="0"/>
          <w:spacing w:val="0"/>
          <w:sz w:val="44"/>
          <w:szCs w:val="44"/>
        </w:rPr>
        <w:t>规划的通知</w:t>
      </w:r>
    </w:p>
    <w:p>
      <w:pPr>
        <w:spacing w:line="520" w:lineRule="exact"/>
        <w:jc w:val="center"/>
        <w:rPr>
          <w:rFonts w:hint="default" w:ascii="Times New Roman" w:hAnsi="Times New Roman" w:eastAsia="方正小标宋_GBK" w:cs="Times New Roman"/>
          <w:b w:val="0"/>
          <w:bCs w:val="0"/>
          <w:spacing w:val="0"/>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仿宋_GB2312" w:cs="Times New Roman"/>
          <w:b w:val="0"/>
          <w:bCs w:val="0"/>
          <w:sz w:val="32"/>
          <w:szCs w:val="32"/>
          <w:lang w:val="en-US" w:eastAsia="zh-CN"/>
        </w:rPr>
      </w:pPr>
      <w:r>
        <w:rPr>
          <w:rFonts w:hint="default" w:ascii="Times New Roman" w:hAnsi="Times New Roman" w:eastAsia="仿宋_GB2312" w:cs="Times New Roman"/>
          <w:b w:val="0"/>
          <w:bCs w:val="0"/>
          <w:sz w:val="32"/>
          <w:szCs w:val="32"/>
          <w:lang w:val="en-US" w:eastAsia="zh-CN"/>
        </w:rPr>
        <w:t>各乡镇人民政府，各有关单位：</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经区人民政府同意，现将《蓟州区科技创新</w:t>
      </w: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十四五</w:t>
      </w: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规划》印发给你们，请照此执行。</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 w:eastAsia="zh-CN" w:bidi="ar-SA"/>
        </w:rPr>
      </w:pPr>
      <w:r>
        <w:rPr>
          <w:rFonts w:hint="eastAsia" w:eastAsia="仿宋_GB2312" w:cs="Times New Roman"/>
          <w:b w:val="0"/>
          <w:bCs w:val="0"/>
          <w:color w:val="000000"/>
          <w:kern w:val="2"/>
          <w:sz w:val="32"/>
          <w:szCs w:val="32"/>
          <w:lang w:val="en-US" w:eastAsia="zh-CN" w:bidi="ar-SA"/>
        </w:rPr>
        <w:t xml:space="preserve">                    </w:t>
      </w:r>
      <w:r>
        <w:rPr>
          <w:rFonts w:hint="eastAsia" w:eastAsia="仿宋_GB2312" w:cs="Times New Roman"/>
          <w:b w:val="0"/>
          <w:bCs w:val="0"/>
          <w:color w:val="000000"/>
          <w:kern w:val="2"/>
          <w:sz w:val="32"/>
          <w:szCs w:val="32"/>
          <w:lang w:val="en" w:eastAsia="zh-CN" w:bidi="ar-SA"/>
        </w:rPr>
        <w:t>天津市蓟州区人民政府办公室</w:t>
      </w:r>
    </w:p>
    <w:p>
      <w:pPr>
        <w:keepNext w:val="0"/>
        <w:keepLines w:val="0"/>
        <w:pageBreakBefore w:val="0"/>
        <w:widowControl w:val="0"/>
        <w:kinsoku/>
        <w:wordWrap/>
        <w:overflowPunct/>
        <w:topLinePunct w:val="0"/>
        <w:autoSpaceDE/>
        <w:autoSpaceDN/>
        <w:bidi w:val="0"/>
        <w:adjustRightInd w:val="0"/>
        <w:snapToGrid w:val="0"/>
        <w:spacing w:line="520" w:lineRule="exact"/>
        <w:ind w:left="0" w:leftChars="0" w:right="0" w:rightChars="0" w:firstLine="0" w:firstLineChars="0"/>
        <w:jc w:val="center"/>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color w:val="000000"/>
          <w:kern w:val="2"/>
          <w:sz w:val="32"/>
          <w:szCs w:val="32"/>
          <w:lang w:val="en-US" w:eastAsia="zh-CN" w:bidi="ar-SA"/>
        </w:rPr>
        <w:t xml:space="preserve">                        2021年</w:t>
      </w:r>
      <w:r>
        <w:rPr>
          <w:rFonts w:hint="eastAsia" w:ascii="Times New Roman" w:hAnsi="Times New Roman" w:eastAsia="仿宋_GB2312" w:cs="Times New Roman"/>
          <w:b w:val="0"/>
          <w:bCs w:val="0"/>
          <w:color w:val="000000"/>
          <w:kern w:val="2"/>
          <w:sz w:val="32"/>
          <w:szCs w:val="32"/>
          <w:lang w:val="en-US" w:eastAsia="zh-CN" w:bidi="ar-SA"/>
        </w:rPr>
        <w:t>10</w:t>
      </w:r>
      <w:r>
        <w:rPr>
          <w:rFonts w:hint="default" w:ascii="Times New Roman" w:hAnsi="Times New Roman" w:eastAsia="仿宋_GB2312" w:cs="Times New Roman"/>
          <w:b w:val="0"/>
          <w:bCs w:val="0"/>
          <w:color w:val="000000"/>
          <w:kern w:val="2"/>
          <w:sz w:val="32"/>
          <w:szCs w:val="32"/>
          <w:lang w:val="en-US" w:eastAsia="zh-CN" w:bidi="ar-SA"/>
        </w:rPr>
        <w:t>月</w:t>
      </w:r>
      <w:r>
        <w:rPr>
          <w:rFonts w:hint="eastAsia" w:ascii="Times New Roman" w:hAnsi="Times New Roman" w:eastAsia="仿宋_GB2312" w:cs="Times New Roman"/>
          <w:b w:val="0"/>
          <w:bCs w:val="0"/>
          <w:color w:val="000000"/>
          <w:kern w:val="2"/>
          <w:sz w:val="32"/>
          <w:szCs w:val="32"/>
          <w:lang w:val="en-US" w:eastAsia="zh-CN" w:bidi="ar-SA"/>
        </w:rPr>
        <w:t>9</w:t>
      </w:r>
      <w:r>
        <w:rPr>
          <w:rFonts w:hint="default" w:ascii="Times New Roman" w:hAnsi="Times New Roman" w:eastAsia="仿宋_GB2312" w:cs="Times New Roman"/>
          <w:b w:val="0"/>
          <w:bCs w:val="0"/>
          <w:color w:val="000000"/>
          <w:kern w:val="2"/>
          <w:sz w:val="32"/>
          <w:szCs w:val="32"/>
          <w:lang w:val="en-US" w:eastAsia="zh-CN" w:bidi="ar-SA"/>
        </w:rPr>
        <w:t>日</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eastAsia" w:ascii="Times New Roman" w:hAnsi="Times New Roman" w:eastAsia="仿宋_GB2312" w:cs="Times New Roman"/>
          <w:b w:val="0"/>
          <w:bCs w:val="0"/>
          <w:color w:val="000000"/>
          <w:kern w:val="2"/>
          <w:sz w:val="32"/>
          <w:szCs w:val="32"/>
          <w:lang w:val="en-US" w:eastAsia="zh-CN" w:bidi="ar-SA"/>
        </w:rPr>
        <w:t>（</w:t>
      </w:r>
      <w:r>
        <w:rPr>
          <w:rFonts w:hint="default" w:ascii="Times New Roman" w:hAnsi="Times New Roman" w:eastAsia="仿宋_GB2312" w:cs="Times New Roman"/>
          <w:b w:val="0"/>
          <w:bCs w:val="0"/>
          <w:color w:val="000000"/>
          <w:kern w:val="2"/>
          <w:sz w:val="32"/>
          <w:szCs w:val="32"/>
          <w:lang w:val="en-US" w:eastAsia="zh-CN" w:bidi="ar-SA"/>
        </w:rPr>
        <w:t>此件主动公开</w:t>
      </w:r>
      <w:r>
        <w:rPr>
          <w:rFonts w:hint="eastAsia" w:ascii="Times New Roman" w:hAnsi="Times New Roman" w:eastAsia="仿宋_GB2312" w:cs="Times New Roman"/>
          <w:b w:val="0"/>
          <w:bCs w:val="0"/>
          <w:color w:val="000000"/>
          <w:kern w:val="2"/>
          <w:sz w:val="32"/>
          <w:szCs w:val="32"/>
          <w:lang w:val="en-US" w:eastAsia="zh-CN" w:bidi="ar-SA"/>
        </w:rPr>
        <w:t>）</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p>
    <w:p>
      <w:pPr>
        <w:rPr>
          <w:rFonts w:hint="default" w:ascii="Times New Roman" w:hAnsi="Times New Roman" w:eastAsia="宋体" w:cs="Times New Roman"/>
          <w:sz w:val="28"/>
          <w:szCs w:val="28"/>
        </w:rPr>
      </w:pPr>
    </w:p>
    <w:p>
      <w:pPr>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pStyle w:val="2"/>
        <w:rPr>
          <w:rFonts w:hint="default" w:ascii="Times New Roman" w:hAnsi="Times New Roman" w:eastAsia="宋体" w:cs="Times New Roman"/>
          <w:sz w:val="28"/>
          <w:szCs w:val="28"/>
        </w:rPr>
      </w:pPr>
    </w:p>
    <w:p>
      <w:pPr>
        <w:jc w:val="center"/>
        <w:rPr>
          <w:rFonts w:hint="default" w:ascii="Times New Roman" w:hAnsi="Times New Roman" w:eastAsia="方正小标宋简体" w:cs="Times New Roman"/>
          <w:sz w:val="48"/>
          <w:szCs w:val="48"/>
        </w:rPr>
      </w:pPr>
      <w:r>
        <w:rPr>
          <w:rFonts w:hint="default" w:ascii="Times New Roman" w:hAnsi="Times New Roman" w:eastAsia="宋体" w:cs="Times New Roman"/>
          <w:sz w:val="21"/>
          <w:szCs w:val="24"/>
        </w:rPr>
        <w:fldChar w:fldCharType="begin"/>
      </w:r>
      <w:r>
        <w:rPr>
          <w:rFonts w:hint="default" w:ascii="Times New Roman" w:hAnsi="Times New Roman" w:eastAsia="宋体" w:cs="Times New Roman"/>
          <w:sz w:val="21"/>
          <w:szCs w:val="24"/>
        </w:rPr>
        <w:instrText xml:space="preserve"> HYPERLINK \l "_Toc3009" </w:instrText>
      </w:r>
      <w:r>
        <w:rPr>
          <w:rFonts w:hint="default" w:ascii="Times New Roman" w:hAnsi="Times New Roman" w:eastAsia="宋体" w:cs="Times New Roman"/>
          <w:sz w:val="21"/>
          <w:szCs w:val="24"/>
        </w:rPr>
        <w:fldChar w:fldCharType="separate"/>
      </w:r>
      <w:r>
        <w:rPr>
          <w:rFonts w:hint="default" w:ascii="Times New Roman" w:hAnsi="Times New Roman" w:eastAsia="方正小标宋简体" w:cs="Times New Roman"/>
          <w:sz w:val="48"/>
          <w:szCs w:val="48"/>
        </w:rPr>
        <w:t>蓟州区科技创新</w:t>
      </w:r>
      <w:r>
        <w:rPr>
          <w:rFonts w:hint="eastAsia" w:ascii="Times New Roman" w:hAnsi="Times New Roman" w:eastAsia="方正小标宋简体" w:cs="Times New Roman"/>
          <w:sz w:val="48"/>
          <w:szCs w:val="48"/>
          <w:lang w:eastAsia="zh-CN"/>
        </w:rPr>
        <w:t>“</w:t>
      </w:r>
      <w:r>
        <w:rPr>
          <w:rFonts w:hint="default" w:ascii="Times New Roman" w:hAnsi="Times New Roman" w:eastAsia="方正小标宋简体" w:cs="Times New Roman"/>
          <w:sz w:val="48"/>
          <w:szCs w:val="48"/>
        </w:rPr>
        <w:t>十四五</w:t>
      </w:r>
      <w:r>
        <w:rPr>
          <w:rFonts w:hint="eastAsia" w:ascii="Times New Roman" w:hAnsi="Times New Roman" w:eastAsia="方正小标宋简体" w:cs="Times New Roman"/>
          <w:sz w:val="48"/>
          <w:szCs w:val="48"/>
          <w:lang w:eastAsia="zh-CN"/>
        </w:rPr>
        <w:t>”</w:t>
      </w:r>
      <w:r>
        <w:rPr>
          <w:rFonts w:hint="default" w:ascii="Times New Roman" w:hAnsi="Times New Roman" w:eastAsia="方正小标宋简体" w:cs="Times New Roman"/>
          <w:sz w:val="48"/>
          <w:szCs w:val="48"/>
        </w:rPr>
        <w:t>规划</w:t>
      </w:r>
      <w:r>
        <w:rPr>
          <w:rFonts w:hint="default" w:ascii="Times New Roman" w:hAnsi="Times New Roman" w:eastAsia="方正小标宋简体" w:cs="Times New Roman"/>
          <w:sz w:val="48"/>
          <w:szCs w:val="48"/>
        </w:rPr>
        <w:fldChar w:fldCharType="end"/>
      </w:r>
    </w:p>
    <w:p>
      <w:pPr>
        <w:widowControl w:val="0"/>
        <w:tabs>
          <w:tab w:val="right" w:leader="dot" w:pos="8732"/>
        </w:tabs>
        <w:ind w:left="0" w:leftChars="0"/>
        <w:jc w:val="center"/>
        <w:rPr>
          <w:rFonts w:hint="default" w:ascii="Times New Roman" w:hAnsi="Times New Roman" w:eastAsia="宋体" w:cs="Times New Roman"/>
          <w:kern w:val="2"/>
          <w:sz w:val="21"/>
          <w:szCs w:val="24"/>
          <w:lang w:val="en-US" w:eastAsia="zh-CN" w:bidi="ar-SA"/>
        </w:rPr>
      </w:pPr>
      <w:r>
        <w:rPr>
          <w:rFonts w:hint="default" w:ascii="Times New Roman" w:hAnsi="Times New Roman" w:eastAsia="方正小标宋简体" w:cs="Times New Roman"/>
          <w:kern w:val="2"/>
          <w:sz w:val="44"/>
          <w:szCs w:val="44"/>
          <w:lang w:val="en-US" w:eastAsia="zh-CN" w:bidi="ar-SA"/>
        </w:rPr>
        <w:t>目     录</w:t>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TOC \o "1-3" \h \u </w:instrText>
      </w:r>
      <w:r>
        <w:rPr>
          <w:rFonts w:hint="default" w:ascii="Times New Roman" w:hAnsi="Times New Roman" w:eastAsia="宋体" w:cs="Times New Roman"/>
          <w:kern w:val="2"/>
          <w:sz w:val="28"/>
          <w:szCs w:val="28"/>
          <w:lang w:val="en-US" w:eastAsia="zh-CN" w:bidi="ar-SA"/>
        </w:rPr>
        <w:fldChar w:fldCharType="separate"/>
      </w:r>
    </w:p>
    <w:p>
      <w:pPr>
        <w:widowControl w:val="0"/>
        <w:tabs>
          <w:tab w:val="right" w:leader="dot" w:pos="8732"/>
        </w:tabs>
        <w:ind w:left="0" w:leftChars="0"/>
        <w:jc w:val="both"/>
        <w:rPr>
          <w:rFonts w:hint="default" w:ascii="Times New Roman" w:hAnsi="Times New Roman" w:eastAsia="宋体" w:cs="Times New Roman"/>
          <w:kern w:val="2"/>
          <w:sz w:val="28"/>
          <w:szCs w:val="28"/>
          <w:lang w:val="en-US" w:eastAsia="zh-CN" w:bidi="ar-SA"/>
        </w:rPr>
      </w:pP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TOC \o "1-3" \h \u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宋体" w:cs="Times New Roman"/>
          <w:kern w:val="2"/>
          <w:sz w:val="21"/>
          <w:szCs w:val="24"/>
          <w:lang w:val="en-US" w:eastAsia="zh-CN" w:bidi="ar-SA"/>
        </w:rPr>
        <w:fldChar w:fldCharType="begin"/>
      </w:r>
      <w:r>
        <w:rPr>
          <w:rFonts w:hint="default" w:ascii="Times New Roman" w:hAnsi="Times New Roman" w:eastAsia="宋体" w:cs="Times New Roman"/>
          <w:kern w:val="2"/>
          <w:sz w:val="21"/>
          <w:szCs w:val="24"/>
          <w:lang w:val="en-US" w:eastAsia="zh-CN" w:bidi="ar-SA"/>
        </w:rPr>
        <w:instrText xml:space="preserve"> HYPERLINK \l "_Toc17766" </w:instrText>
      </w:r>
      <w:r>
        <w:rPr>
          <w:rFonts w:hint="default" w:ascii="Times New Roman" w:hAnsi="Times New Roman" w:eastAsia="宋体" w:cs="Times New Roman"/>
          <w:kern w:val="2"/>
          <w:sz w:val="21"/>
          <w:szCs w:val="24"/>
          <w:lang w:val="en-US" w:eastAsia="zh-CN" w:bidi="ar-SA"/>
        </w:rPr>
        <w:fldChar w:fldCharType="separate"/>
      </w:r>
      <w:r>
        <w:rPr>
          <w:rFonts w:hint="default" w:ascii="Times New Roman" w:hAnsi="Times New Roman" w:eastAsia="黑体" w:cs="Times New Roman"/>
          <w:kern w:val="2"/>
          <w:sz w:val="28"/>
          <w:szCs w:val="28"/>
          <w:lang w:val="en-US" w:eastAsia="zh-CN" w:bidi="ar-SA"/>
        </w:rPr>
        <w:t>一、基础与形势</w:t>
      </w:r>
      <w:r>
        <w:rPr>
          <w:rFonts w:hint="default" w:ascii="Times New Roman" w:hAnsi="Times New Roman" w:eastAsia="宋体" w:cs="Times New Roman"/>
          <w:kern w:val="2"/>
          <w:sz w:val="28"/>
          <w:szCs w:val="28"/>
          <w:lang w:val="en-US" w:eastAsia="zh-CN" w:bidi="ar-SA"/>
        </w:rPr>
        <w:tab/>
      </w:r>
      <w:r>
        <w:rPr>
          <w:rFonts w:hint="default" w:ascii="Times New Roman" w:hAnsi="Times New Roman" w:eastAsia="宋体" w:cs="Times New Roman"/>
          <w:kern w:val="2"/>
          <w:sz w:val="28"/>
          <w:szCs w:val="28"/>
          <w:lang w:val="en-US" w:eastAsia="zh-CN" w:bidi="ar-SA"/>
        </w:rPr>
        <w:fldChar w:fldCharType="begin"/>
      </w:r>
      <w:r>
        <w:rPr>
          <w:rFonts w:hint="default" w:ascii="Times New Roman" w:hAnsi="Times New Roman" w:eastAsia="宋体" w:cs="Times New Roman"/>
          <w:kern w:val="2"/>
          <w:sz w:val="28"/>
          <w:szCs w:val="28"/>
          <w:lang w:val="en-US" w:eastAsia="zh-CN" w:bidi="ar-SA"/>
        </w:rPr>
        <w:instrText xml:space="preserve"> PAGEREF _Toc17766 </w:instrText>
      </w:r>
      <w:r>
        <w:rPr>
          <w:rFonts w:hint="default" w:ascii="Times New Roman" w:hAnsi="Times New Roman" w:eastAsia="宋体" w:cs="Times New Roman"/>
          <w:kern w:val="2"/>
          <w:sz w:val="28"/>
          <w:szCs w:val="28"/>
          <w:lang w:val="en-US" w:eastAsia="zh-CN" w:bidi="ar-SA"/>
        </w:rPr>
        <w:fldChar w:fldCharType="separate"/>
      </w:r>
      <w:r>
        <w:rPr>
          <w:rFonts w:hint="default" w:ascii="Times New Roman" w:hAnsi="Times New Roman" w:eastAsia="宋体" w:cs="Times New Roman"/>
          <w:kern w:val="2"/>
          <w:sz w:val="28"/>
          <w:szCs w:val="28"/>
          <w:lang w:val="en-US" w:eastAsia="zh-CN" w:bidi="ar-SA"/>
        </w:rPr>
        <w:t>- 4 -</w:t>
      </w:r>
      <w:r>
        <w:rPr>
          <w:rFonts w:hint="default" w:ascii="Times New Roman" w:hAnsi="Times New Roman" w:eastAsia="宋体" w:cs="Times New Roman"/>
          <w:kern w:val="2"/>
          <w:sz w:val="28"/>
          <w:szCs w:val="28"/>
          <w:lang w:val="en-US" w:eastAsia="zh-CN" w:bidi="ar-SA"/>
        </w:rPr>
        <w:fldChar w:fldCharType="end"/>
      </w:r>
      <w:r>
        <w:rPr>
          <w:rFonts w:hint="default" w:ascii="Times New Roman" w:hAnsi="Times New Roman" w:eastAsia="宋体" w:cs="Times New Roman"/>
          <w:kern w:val="2"/>
          <w:sz w:val="28"/>
          <w:szCs w:val="28"/>
          <w:lang w:val="en-US" w:eastAsia="zh-CN" w:bidi="ar-SA"/>
        </w:rPr>
        <w:fldChar w:fldCharType="end"/>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"_Toc7920"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（一）发展基础</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begin"/>
      </w:r>
      <w:r>
        <w:rPr>
          <w:rFonts w:hint="default" w:ascii="Times New Roman" w:hAnsi="Times New Roman" w:eastAsia="宋体" w:cs="Times New Roman"/>
          <w:sz w:val="28"/>
          <w:szCs w:val="28"/>
          <w:lang w:val="en-US" w:eastAsia="zh-CN" w:bidi="ar-SA"/>
        </w:rPr>
        <w:instrText xml:space="preserve"> PAGEREF _Toc7920 </w:instrText>
      </w:r>
      <w:r>
        <w:rPr>
          <w:rFonts w:hint="default" w:ascii="Times New Roman" w:hAnsi="Times New Roman" w:eastAsia="宋体" w:cs="Times New Roman"/>
          <w:sz w:val="28"/>
          <w:szCs w:val="28"/>
          <w:lang w:val="en-US" w:eastAsia="zh-CN" w:bidi="ar-SA"/>
        </w:rPr>
        <w:fldChar w:fldCharType="separate"/>
      </w:r>
      <w:r>
        <w:rPr>
          <w:rFonts w:hint="default" w:ascii="Times New Roman" w:hAnsi="Times New Roman" w:eastAsia="宋体" w:cs="Times New Roman"/>
          <w:sz w:val="28"/>
          <w:szCs w:val="28"/>
          <w:lang w:val="en-US" w:eastAsia="zh-CN" w:bidi="ar-SA"/>
        </w:rPr>
        <w:t>- 4 -</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"_Toc23812"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sz w:val="28"/>
          <w:szCs w:val="28"/>
          <w:lang w:val="en-US" w:eastAsia="zh-CN" w:bidi="ar-SA"/>
        </w:rPr>
        <w:t>1．</w:t>
      </w:r>
      <w:r>
        <w:rPr>
          <w:rFonts w:hint="default" w:ascii="Times New Roman" w:hAnsi="Times New Roman" w:eastAsia="仿宋_GB2312" w:cs="Times New Roman"/>
          <w:bCs/>
          <w:sz w:val="28"/>
          <w:szCs w:val="28"/>
          <w:lang w:val="en-US" w:eastAsia="zh-CN" w:bidi="ar-SA"/>
        </w:rPr>
        <w:t>科技创新环境不断优化</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begin"/>
      </w:r>
      <w:r>
        <w:rPr>
          <w:rFonts w:hint="default" w:ascii="Times New Roman" w:hAnsi="Times New Roman" w:eastAsia="宋体" w:cs="Times New Roman"/>
          <w:sz w:val="28"/>
          <w:szCs w:val="28"/>
          <w:lang w:val="en-US" w:eastAsia="zh-CN" w:bidi="ar-SA"/>
        </w:rPr>
        <w:instrText xml:space="preserve"> PAGEREF _Toc23812 </w:instrText>
      </w:r>
      <w:r>
        <w:rPr>
          <w:rFonts w:hint="default" w:ascii="Times New Roman" w:hAnsi="Times New Roman" w:eastAsia="宋体" w:cs="Times New Roman"/>
          <w:sz w:val="28"/>
          <w:szCs w:val="28"/>
          <w:lang w:val="en-US" w:eastAsia="zh-CN" w:bidi="ar-SA"/>
        </w:rPr>
        <w:fldChar w:fldCharType="separate"/>
      </w:r>
      <w:r>
        <w:rPr>
          <w:rFonts w:hint="default" w:ascii="Times New Roman" w:hAnsi="Times New Roman" w:eastAsia="宋体" w:cs="Times New Roman"/>
          <w:sz w:val="28"/>
          <w:szCs w:val="28"/>
          <w:lang w:val="en-US" w:eastAsia="zh-CN" w:bidi="ar-SA"/>
        </w:rPr>
        <w:t>- 4 -</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"_Toc19485"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2．科技创新主体健康发展</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begin"/>
      </w:r>
      <w:r>
        <w:rPr>
          <w:rFonts w:hint="default" w:ascii="Times New Roman" w:hAnsi="Times New Roman" w:eastAsia="宋体" w:cs="Times New Roman"/>
          <w:sz w:val="28"/>
          <w:szCs w:val="28"/>
          <w:lang w:val="en-US" w:eastAsia="zh-CN" w:bidi="ar-SA"/>
        </w:rPr>
        <w:instrText xml:space="preserve"> PAGEREF _Toc19485 </w:instrText>
      </w:r>
      <w:r>
        <w:rPr>
          <w:rFonts w:hint="default" w:ascii="Times New Roman" w:hAnsi="Times New Roman" w:eastAsia="宋体" w:cs="Times New Roman"/>
          <w:sz w:val="28"/>
          <w:szCs w:val="28"/>
          <w:lang w:val="en-US" w:eastAsia="zh-CN" w:bidi="ar-SA"/>
        </w:rPr>
        <w:fldChar w:fldCharType="separate"/>
      </w:r>
      <w:r>
        <w:rPr>
          <w:rFonts w:hint="default" w:ascii="Times New Roman" w:hAnsi="Times New Roman" w:eastAsia="宋体" w:cs="Times New Roman"/>
          <w:sz w:val="28"/>
          <w:szCs w:val="28"/>
          <w:lang w:val="en-US" w:eastAsia="zh-CN" w:bidi="ar-SA"/>
        </w:rPr>
        <w:t>- 5 -</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"_Toc9859"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3．科技创新能力明显提升</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2</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"_Toc30000"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4．科技创新载体稳步建设</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2</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840" w:leftChars="400"/>
        <w:rPr>
          <w:rFonts w:hint="default" w:ascii="Times New Roman" w:hAnsi="Times New Roman" w:eastAsia="宋体" w:cs="Times New Roman"/>
          <w:sz w:val="32"/>
          <w:szCs w:val="20"/>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"_Toc12478"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5．科技创新助力乡村振兴</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3</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仿宋_GB2312" w:cs="Times New Roman"/>
          <w:sz w:val="28"/>
          <w:szCs w:val="28"/>
          <w:lang w:val="en-US" w:eastAsia="zh-CN" w:bidi="ar-SA"/>
        </w:rPr>
        <w:t>6．科技创新成果惠及民生</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3</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"_Toc966"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（二）面临形势</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3</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"_Toc17476"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黑体" w:cs="Times New Roman"/>
          <w:sz w:val="28"/>
          <w:szCs w:val="28"/>
          <w:lang w:val="en-US" w:eastAsia="zh-CN" w:bidi="ar-SA"/>
        </w:rPr>
        <w:t>二、思路与目标</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4</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"_Toc13814"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（一）指导思想</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4</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"_Toc26512"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（二）基本原则</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4</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"_Toc7711"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（三）发展目标</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5</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"_Toc14861"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黑体" w:cs="Times New Roman"/>
          <w:sz w:val="28"/>
          <w:szCs w:val="28"/>
          <w:lang w:val="en-US" w:eastAsia="zh-CN" w:bidi="ar-SA"/>
        </w:rPr>
        <w:t>三、重点任务</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7</w:t>
      </w:r>
    </w:p>
    <w:p>
      <w:pPr>
        <w:keepNext w:val="0"/>
        <w:keepLines w:val="0"/>
        <w:pageBreakBefore w:val="0"/>
        <w:widowControl/>
        <w:tabs>
          <w:tab w:val="right" w:leader="dot" w:pos="8732"/>
        </w:tabs>
        <w:kinsoku/>
        <w:wordWrap/>
        <w:overflowPunct/>
        <w:topLinePunct w:val="0"/>
        <w:autoSpaceDE/>
        <w:autoSpaceDN/>
        <w:bidi w:val="0"/>
        <w:adjustRightInd w:val="0"/>
        <w:snapToGrid w:val="0"/>
        <w:spacing w:line="460" w:lineRule="exact"/>
        <w:ind w:left="420" w:leftChars="200"/>
        <w:textAlignment w:val="auto"/>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"_Toc614"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（一）搭建创新载体平台</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7</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"_Toc1060"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1．推动建设创新创业载体</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7</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"_Toc8443"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2．推动建设科技创新平台</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7</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"_Toc3312"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3．推动建设成果转化基地</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7</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"_Toc2628"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（二）支撑发展重点产业</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8</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"_Toc24526"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1．做大做强主导产业</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8</w:t>
      </w:r>
      <w:r>
        <w:rPr>
          <w:rFonts w:hint="default" w:ascii="Times New Roman" w:hAnsi="Times New Roman" w:eastAsia="宋体" w:cs="Times New Roman"/>
          <w:sz w:val="28"/>
          <w:szCs w:val="28"/>
          <w:lang w:val="en-US" w:eastAsia="zh-CN" w:bidi="ar-SA"/>
        </w:rPr>
        <w:fldChar w:fldCharType="end"/>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"_Toc26148"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2．优化提升传统产业</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8</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"_Toc24375"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3．引育发展新兴产业</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9</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"_Toc9080"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（三）发展壮大创新主体</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10</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"_Toc8868"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1．强化企业创新主体地位</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10</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"_Toc4891"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2．实施高企倍增行动计划</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0</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"_Toc21874"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3．推进科技企业梯度培育</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10</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"_Toc3262"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（四）加快推进协同创新</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"_Toc29750"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1．积极融入京津冀协同发展</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"_Toc6937"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2．积极推进产学研深度融合</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"_Toc22713"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3．积极开展军民融合协同创新</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2</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"_Toc28997"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（五）强化农业科技支撑</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12</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"_Toc5581"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kern w:val="2"/>
          <w:sz w:val="28"/>
          <w:szCs w:val="28"/>
          <w:lang w:val="en-US" w:eastAsia="zh-CN" w:bidi="ar-SA"/>
        </w:rPr>
        <w:t>1．引领现代都市农业绿色发展</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12</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"_Toc30271"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kern w:val="2"/>
          <w:sz w:val="28"/>
          <w:szCs w:val="28"/>
          <w:lang w:val="en-US" w:eastAsia="zh-CN" w:bidi="ar-SA"/>
        </w:rPr>
        <w:t>2．推进农业重点领域科技创新</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2</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3．完善农业科技社会化服务体系</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3</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"_Toc28997"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（六）科技赋能民计民生</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14</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1．推进民生领域科技创新</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14</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2．推进生态环境有效治理</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4</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3．推进健康蓟州</w:t>
      </w:r>
      <w:r>
        <w:rPr>
          <w:rFonts w:hint="eastAsia" w:ascii="Times New Roman" w:hAnsi="Times New Roman" w:eastAsia="仿宋_GB2312" w:cs="Times New Roman"/>
          <w:bCs/>
          <w:sz w:val="28"/>
          <w:szCs w:val="28"/>
          <w:lang w:val="en-US" w:eastAsia="zh-CN" w:bidi="ar-SA"/>
        </w:rPr>
        <w:t>体系</w:t>
      </w:r>
      <w:r>
        <w:rPr>
          <w:rFonts w:hint="default" w:ascii="Times New Roman" w:hAnsi="Times New Roman" w:eastAsia="仿宋_GB2312" w:cs="Times New Roman"/>
          <w:bCs/>
          <w:sz w:val="28"/>
          <w:szCs w:val="28"/>
          <w:lang w:val="en-US" w:eastAsia="zh-CN" w:bidi="ar-SA"/>
        </w:rPr>
        <w:t>建设</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4</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"_Toc28997"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（七）创新人才引育机制</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15</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1．加快创新人才引育</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5</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2．充分激发人才活力</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 w:eastAsia="zh-CN" w:bidi="ar-SA"/>
        </w:rPr>
        <w:t>5</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3．持续优化人才环境</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6</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"_Toc28997"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楷体_GB2312" w:cs="Times New Roman"/>
          <w:sz w:val="28"/>
          <w:szCs w:val="28"/>
          <w:lang w:val="en-US" w:eastAsia="zh-CN" w:bidi="ar-SA"/>
        </w:rPr>
        <w:t>（八）营造优良创新生态</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16</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1．优化创新服务环境</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16</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2．加强知识产权保护</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16</w:t>
      </w:r>
    </w:p>
    <w:p>
      <w:pPr>
        <w:tabs>
          <w:tab w:val="right" w:leader="dot" w:pos="8732"/>
        </w:tabs>
        <w:adjustRightInd w:val="0"/>
        <w:snapToGrid w:val="0"/>
        <w:spacing w:line="500" w:lineRule="exact"/>
        <w:ind w:left="840" w:leftChars="4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"_Toc16184"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3．纵深推进全域科普</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17</w:t>
      </w:r>
    </w:p>
    <w:p>
      <w:pPr>
        <w:tabs>
          <w:tab w:val="right" w:leader="dot" w:pos="8732"/>
        </w:tabs>
        <w:adjustRightInd w:val="0"/>
        <w:snapToGrid w:val="0"/>
        <w:spacing w:line="500" w:lineRule="exact"/>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"_Toc5519"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黑体" w:cs="Times New Roman"/>
          <w:sz w:val="28"/>
          <w:szCs w:val="28"/>
          <w:lang w:val="en-US" w:eastAsia="zh-CN" w:bidi="ar-SA"/>
        </w:rPr>
        <w:t>四、保障措施</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8</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"_Toc25888"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1．加强组织领导</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8</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"_Toc3086"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2．加强多元投入</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18</w:t>
      </w:r>
    </w:p>
    <w:p>
      <w:pPr>
        <w:tabs>
          <w:tab w:val="right" w:leader="dot" w:pos="8732"/>
        </w:tabs>
        <w:adjustRightInd w:val="0"/>
        <w:snapToGrid w:val="0"/>
        <w:spacing w:line="500" w:lineRule="exact"/>
        <w:ind w:left="420" w:leftChars="200"/>
        <w:rPr>
          <w:rFonts w:hint="default" w:ascii="Times New Roman" w:hAnsi="Times New Roman" w:eastAsia="宋体" w:cs="Times New Roman"/>
          <w:sz w:val="28"/>
          <w:szCs w:val="28"/>
          <w:lang w:val="en-US" w:eastAsia="zh-CN" w:bidi="ar-SA"/>
        </w:rPr>
      </w:pPr>
      <w:r>
        <w:rPr>
          <w:rFonts w:hint="default" w:ascii="Times New Roman" w:hAnsi="Times New Roman" w:eastAsia="宋体" w:cs="Times New Roman"/>
          <w:sz w:val="32"/>
          <w:szCs w:val="20"/>
          <w:lang w:val="en-US" w:eastAsia="zh-CN" w:bidi="ar-SA"/>
        </w:rPr>
        <w:fldChar w:fldCharType="begin"/>
      </w:r>
      <w:r>
        <w:rPr>
          <w:rFonts w:hint="default" w:ascii="Times New Roman" w:hAnsi="Times New Roman" w:eastAsia="宋体" w:cs="Times New Roman"/>
          <w:sz w:val="32"/>
          <w:szCs w:val="20"/>
          <w:lang w:val="en-US" w:eastAsia="zh-CN" w:bidi="ar-SA"/>
        </w:rPr>
        <w:instrText xml:space="preserve"> HYPERLINK \l "_Toc18771" </w:instrText>
      </w:r>
      <w:r>
        <w:rPr>
          <w:rFonts w:hint="default" w:ascii="Times New Roman" w:hAnsi="Times New Roman" w:eastAsia="宋体" w:cs="Times New Roman"/>
          <w:sz w:val="32"/>
          <w:szCs w:val="20"/>
          <w:lang w:val="en-US" w:eastAsia="zh-CN" w:bidi="ar-SA"/>
        </w:rPr>
        <w:fldChar w:fldCharType="separate"/>
      </w:r>
      <w:r>
        <w:rPr>
          <w:rFonts w:hint="default" w:ascii="Times New Roman" w:hAnsi="Times New Roman" w:eastAsia="仿宋_GB2312" w:cs="Times New Roman"/>
          <w:bCs/>
          <w:sz w:val="28"/>
          <w:szCs w:val="28"/>
          <w:lang w:val="en-US" w:eastAsia="zh-CN" w:bidi="ar-SA"/>
        </w:rPr>
        <w:t>3．加强统筹协调</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w:t>
      </w:r>
      <w:r>
        <w:rPr>
          <w:rFonts w:hint="default" w:ascii="Times New Roman" w:hAnsi="Times New Roman" w:eastAsia="宋体" w:cs="Times New Roman"/>
          <w:sz w:val="28"/>
          <w:szCs w:val="28"/>
          <w:lang w:val="en-US" w:eastAsia="zh-CN" w:bidi="ar-SA"/>
        </w:rPr>
        <w:fldChar w:fldCharType="end"/>
      </w:r>
      <w:r>
        <w:rPr>
          <w:rFonts w:hint="default" w:ascii="Times New Roman" w:hAnsi="Times New Roman" w:eastAsia="宋体" w:cs="Times New Roman"/>
          <w:sz w:val="28"/>
          <w:szCs w:val="28"/>
          <w:lang w:val="en-US" w:eastAsia="zh-CN" w:bidi="ar-SA"/>
        </w:rPr>
        <w:t>8</w:t>
      </w:r>
    </w:p>
    <w:p>
      <w:pPr>
        <w:tabs>
          <w:tab w:val="right" w:leader="dot" w:pos="8732"/>
        </w:tabs>
        <w:adjustRightInd w:val="0"/>
        <w:snapToGrid w:val="0"/>
        <w:spacing w:line="500" w:lineRule="exact"/>
        <w:ind w:left="420" w:leftChars="200"/>
        <w:rPr>
          <w:rFonts w:hint="default" w:ascii="Times New Roman" w:hAnsi="Times New Roman" w:eastAsia="宋体" w:cs="Times New Roman"/>
          <w:sz w:val="32"/>
          <w:szCs w:val="20"/>
          <w:lang w:val="en-US" w:eastAsia="zh-CN" w:bidi="ar-SA"/>
        </w:rPr>
      </w:pPr>
      <w:r>
        <w:rPr>
          <w:rFonts w:hint="default" w:ascii="Times New Roman" w:hAnsi="Times New Roman" w:eastAsia="仿宋_GB2312" w:cs="Times New Roman"/>
          <w:bCs/>
          <w:sz w:val="28"/>
          <w:szCs w:val="28"/>
          <w:lang w:val="en-US" w:eastAsia="zh-CN" w:bidi="ar-SA"/>
        </w:rPr>
        <w:t>4．加强实施监测</w:t>
      </w:r>
      <w:r>
        <w:rPr>
          <w:rFonts w:hint="default" w:ascii="Times New Roman" w:hAnsi="Times New Roman" w:eastAsia="宋体" w:cs="Times New Roman"/>
          <w:sz w:val="28"/>
          <w:szCs w:val="28"/>
          <w:lang w:val="en-US" w:eastAsia="zh-CN" w:bidi="ar-SA"/>
        </w:rPr>
        <w:tab/>
      </w:r>
      <w:r>
        <w:rPr>
          <w:rFonts w:hint="default" w:ascii="Times New Roman" w:hAnsi="Times New Roman" w:eastAsia="宋体" w:cs="Times New Roman"/>
          <w:sz w:val="28"/>
          <w:szCs w:val="28"/>
          <w:lang w:val="en-US" w:eastAsia="zh-CN" w:bidi="ar-SA"/>
        </w:rPr>
        <w:t>19</w:t>
      </w:r>
    </w:p>
    <w:p>
      <w:pPr>
        <w:rPr>
          <w:rFonts w:hint="default" w:ascii="Times New Roman" w:hAnsi="Times New Roman" w:eastAsia="宋体" w:cs="Times New Roman"/>
          <w:sz w:val="21"/>
          <w:szCs w:val="24"/>
        </w:rPr>
      </w:pPr>
      <w:r>
        <w:rPr>
          <w:rFonts w:hint="default" w:ascii="Times New Roman" w:hAnsi="Times New Roman" w:eastAsia="宋体" w:cs="Times New Roman"/>
          <w:sz w:val="21"/>
          <w:szCs w:val="24"/>
        </w:rPr>
        <w:fldChar w:fldCharType="end"/>
      </w:r>
    </w:p>
    <w:p>
      <w:pPr>
        <w:rPr>
          <w:rFonts w:hint="default" w:ascii="Times New Roman" w:hAnsi="Times New Roman" w:eastAsia="方正小标宋简体" w:cs="Times New Roman"/>
          <w:sz w:val="44"/>
          <w:szCs w:val="44"/>
        </w:rPr>
        <w:sectPr>
          <w:footerReference r:id="rId3" w:type="default"/>
          <w:pgSz w:w="11906" w:h="16838"/>
          <w:pgMar w:top="1440" w:right="1587" w:bottom="1440" w:left="1587" w:header="851" w:footer="992" w:gutter="0"/>
          <w:pgNumType w:start="1"/>
          <w:cols w:space="425" w:num="1"/>
          <w:docGrid w:type="lines" w:linePitch="312" w:charSpace="0"/>
        </w:sectPr>
      </w:pPr>
      <w:r>
        <w:rPr>
          <w:rFonts w:hint="default" w:ascii="Times New Roman" w:hAnsi="Times New Roman" w:eastAsia="宋体" w:cs="Times New Roman"/>
          <w:sz w:val="28"/>
          <w:szCs w:val="28"/>
        </w:rPr>
        <w:fldChar w:fldCharType="end"/>
      </w:r>
      <w:bookmarkStart w:id="0" w:name="_Toc3009"/>
    </w:p>
    <w:bookmarkEnd w:id="0"/>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snapToGrid w:val="0"/>
          <w:kern w:val="0"/>
          <w:sz w:val="44"/>
          <w:szCs w:val="44"/>
        </w:rPr>
      </w:pPr>
    </w:p>
    <w:p>
      <w:pPr>
        <w:keepNext w:val="0"/>
        <w:keepLines w:val="0"/>
        <w:pageBreakBefore w:val="0"/>
        <w:widowControl w:val="0"/>
        <w:kinsoku/>
        <w:wordWrap/>
        <w:overflowPunct/>
        <w:topLinePunct w:val="0"/>
        <w:autoSpaceDE/>
        <w:autoSpaceDN/>
        <w:bidi w:val="0"/>
        <w:spacing w:line="520" w:lineRule="exact"/>
        <w:jc w:val="center"/>
        <w:textAlignment w:val="auto"/>
        <w:rPr>
          <w:rFonts w:hint="default" w:ascii="Times New Roman" w:hAnsi="Times New Roman" w:eastAsia="方正小标宋简体" w:cs="Times New Roman"/>
          <w:snapToGrid w:val="0"/>
          <w:kern w:val="0"/>
          <w:sz w:val="44"/>
          <w:szCs w:val="44"/>
        </w:rPr>
      </w:pPr>
      <w:r>
        <w:rPr>
          <w:rFonts w:hint="default" w:ascii="Times New Roman" w:hAnsi="Times New Roman" w:eastAsia="方正小标宋简体" w:cs="Times New Roman"/>
          <w:snapToGrid w:val="0"/>
          <w:kern w:val="0"/>
          <w:sz w:val="44"/>
          <w:szCs w:val="44"/>
        </w:rPr>
        <w:t>蓟州区科技创新</w:t>
      </w:r>
      <w:r>
        <w:rPr>
          <w:rFonts w:hint="eastAsia" w:ascii="Times New Roman" w:hAnsi="Times New Roman" w:eastAsia="方正小标宋简体" w:cs="Times New Roman"/>
          <w:snapToGrid w:val="0"/>
          <w:kern w:val="0"/>
          <w:sz w:val="44"/>
          <w:szCs w:val="44"/>
          <w:lang w:eastAsia="zh-CN"/>
        </w:rPr>
        <w:t>“</w:t>
      </w:r>
      <w:r>
        <w:rPr>
          <w:rFonts w:hint="default" w:ascii="Times New Roman" w:hAnsi="Times New Roman" w:eastAsia="方正小标宋简体" w:cs="Times New Roman"/>
          <w:snapToGrid w:val="0"/>
          <w:kern w:val="0"/>
          <w:sz w:val="44"/>
          <w:szCs w:val="44"/>
        </w:rPr>
        <w:t>十四五</w:t>
      </w:r>
      <w:r>
        <w:rPr>
          <w:rFonts w:hint="eastAsia" w:ascii="Times New Roman" w:hAnsi="Times New Roman" w:eastAsia="方正小标宋简体" w:cs="Times New Roman"/>
          <w:snapToGrid w:val="0"/>
          <w:kern w:val="0"/>
          <w:sz w:val="44"/>
          <w:szCs w:val="44"/>
          <w:lang w:eastAsia="zh-CN"/>
        </w:rPr>
        <w:t>”</w:t>
      </w:r>
      <w:r>
        <w:rPr>
          <w:rFonts w:hint="default" w:ascii="Times New Roman" w:hAnsi="Times New Roman" w:eastAsia="方正小标宋简体" w:cs="Times New Roman"/>
          <w:snapToGrid w:val="0"/>
          <w:kern w:val="0"/>
          <w:sz w:val="44"/>
          <w:szCs w:val="44"/>
        </w:rPr>
        <w:t>规划</w:t>
      </w:r>
    </w:p>
    <w:p>
      <w:pPr>
        <w:keepNext w:val="0"/>
        <w:keepLines w:val="0"/>
        <w:pageBreakBefore w:val="0"/>
        <w:widowControl w:val="0"/>
        <w:kinsoku/>
        <w:wordWrap/>
        <w:overflowPunct/>
        <w:topLinePunct w:val="0"/>
        <w:autoSpaceDE/>
        <w:autoSpaceDN/>
        <w:bidi w:val="0"/>
        <w:spacing w:line="520" w:lineRule="exact"/>
        <w:ind w:left="116"/>
        <w:jc w:val="both"/>
        <w:textAlignment w:val="auto"/>
        <w:rPr>
          <w:rFonts w:hint="default" w:ascii="Times New Roman" w:hAnsi="Times New Roman" w:eastAsia="仿宋" w:cs="Times New Roman"/>
          <w:kern w:val="2"/>
          <w:sz w:val="28"/>
          <w:szCs w:val="24"/>
          <w:lang w:val="en-US" w:eastAsia="zh-CN" w:bidi="ar-SA"/>
        </w:rPr>
      </w:pP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时期</w:t>
      </w:r>
      <w:r>
        <w:rPr>
          <w:rFonts w:hint="default" w:ascii="Times New Roman" w:hAnsi="Times New Roman" w:eastAsia="仿宋_GB2312" w:cs="Times New Roman"/>
          <w:snapToGrid w:val="0"/>
          <w:kern w:val="0"/>
          <w:sz w:val="32"/>
          <w:szCs w:val="32"/>
        </w:rPr>
        <w:t>是蓟州区在取得全面建成小康社会决定性成就的基础上，开启全面建设社会主义现代化新蓟州，实</w:t>
      </w:r>
      <w:r>
        <w:rPr>
          <w:rFonts w:hint="default" w:ascii="Times New Roman" w:hAnsi="Times New Roman" w:eastAsia="仿宋_GB2312" w:cs="Times New Roman"/>
          <w:snapToGrid w:val="0"/>
          <w:kern w:val="0"/>
          <w:sz w:val="32"/>
          <w:szCs w:val="32"/>
          <w:lang w:eastAsia="zh-CN"/>
        </w:rPr>
        <w:t>现</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三地一城</w:t>
      </w:r>
      <w:r>
        <w:rPr>
          <w:rFonts w:hint="eastAsia"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napToGrid w:val="0"/>
          <w:kern w:val="0"/>
          <w:sz w:val="32"/>
          <w:szCs w:val="32"/>
        </w:rPr>
        <w:t>发展定位的第一个五年，是推动高质量发展、绿色发展</w:t>
      </w:r>
      <w:r>
        <w:rPr>
          <w:rFonts w:hint="default" w:ascii="Times New Roman" w:hAnsi="Times New Roman" w:eastAsia="仿宋_GB2312" w:cs="Times New Roman"/>
          <w:snapToGrid w:val="0"/>
          <w:kern w:val="0"/>
          <w:sz w:val="32"/>
          <w:szCs w:val="32"/>
          <w:lang w:eastAsia="zh-CN"/>
        </w:rPr>
        <w:t>，</w:t>
      </w:r>
      <w:r>
        <w:rPr>
          <w:rFonts w:hint="default" w:ascii="Times New Roman" w:hAnsi="Times New Roman" w:eastAsia="仿宋_GB2312" w:cs="Times New Roman"/>
          <w:sz w:val="32"/>
          <w:szCs w:val="32"/>
        </w:rPr>
        <w:t>主动融入</w:t>
      </w:r>
      <w:r>
        <w:rPr>
          <w:rFonts w:hint="default" w:ascii="Times New Roman" w:hAnsi="Times New Roman" w:eastAsia="仿宋_GB2312" w:cs="Times New Roman"/>
          <w:snapToGrid w:val="0"/>
          <w:kern w:val="0"/>
          <w:sz w:val="32"/>
          <w:szCs w:val="32"/>
        </w:rPr>
        <w:t>新发展格局的关键时期。为深入实施创新驱动发展战略，全面推进科技创新，</w:t>
      </w:r>
      <w:r>
        <w:rPr>
          <w:rFonts w:hint="default" w:ascii="Times New Roman" w:hAnsi="Times New Roman" w:eastAsia="仿宋_GB2312" w:cs="Times New Roman"/>
          <w:sz w:val="32"/>
          <w:szCs w:val="32"/>
        </w:rPr>
        <w:t>根据</w:t>
      </w:r>
      <w:r>
        <w:rPr>
          <w:rFonts w:hint="default" w:ascii="Times New Roman" w:hAnsi="Times New Roman" w:eastAsia="仿宋_GB2312" w:cs="Times New Roman"/>
          <w:snapToGrid w:val="0"/>
          <w:kern w:val="0"/>
          <w:sz w:val="32"/>
          <w:szCs w:val="32"/>
        </w:rPr>
        <w:t>《天津市蓟州区国民经济和社会发展第十四个五年规划和二</w:t>
      </w:r>
      <w:r>
        <w:rPr>
          <w:rFonts w:hint="default" w:ascii="Times New Roman" w:hAnsi="Times New Roman" w:eastAsia="Nimbus Roman No9 L" w:cs="Times New Roman"/>
          <w:snapToGrid w:val="0"/>
          <w:kern w:val="0"/>
          <w:sz w:val="32"/>
          <w:szCs w:val="32"/>
        </w:rPr>
        <w:t>〇</w:t>
      </w:r>
      <w:r>
        <w:rPr>
          <w:rFonts w:hint="default" w:ascii="Times New Roman" w:hAnsi="Times New Roman" w:eastAsia="仿宋_GB2312" w:cs="Times New Roman"/>
          <w:snapToGrid w:val="0"/>
          <w:kern w:val="0"/>
          <w:sz w:val="32"/>
          <w:szCs w:val="32"/>
        </w:rPr>
        <w:t>三五年远景目标纲要》和</w:t>
      </w:r>
      <w:r>
        <w:rPr>
          <w:rFonts w:hint="default" w:ascii="Times New Roman" w:hAnsi="Times New Roman" w:eastAsia="仿宋_GB2312" w:cs="Times New Roman"/>
          <w:sz w:val="32"/>
          <w:szCs w:val="32"/>
        </w:rPr>
        <w:t>《天津市科技创新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十四五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规划》，编制本规划。</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0"/>
        <w:rPr>
          <w:rFonts w:hint="default" w:ascii="Times New Roman" w:hAnsi="Times New Roman" w:eastAsia="黑体" w:cs="Times New Roman"/>
          <w:sz w:val="32"/>
          <w:szCs w:val="32"/>
        </w:rPr>
      </w:pPr>
      <w:bookmarkStart w:id="1" w:name="_Toc17766"/>
      <w:bookmarkStart w:id="2" w:name="_Toc31473"/>
      <w:r>
        <w:rPr>
          <w:rFonts w:hint="default" w:ascii="Times New Roman" w:hAnsi="Times New Roman" w:eastAsia="黑体" w:cs="Times New Roman"/>
          <w:sz w:val="32"/>
          <w:szCs w:val="32"/>
        </w:rPr>
        <w:t>一、基础与形势</w:t>
      </w:r>
      <w:bookmarkEnd w:id="1"/>
      <w:bookmarkEnd w:id="2"/>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1"/>
        <w:rPr>
          <w:rFonts w:hint="default" w:ascii="Times New Roman" w:hAnsi="Times New Roman" w:eastAsia="楷体_GB2312" w:cs="Times New Roman"/>
          <w:b/>
          <w:bCs/>
          <w:sz w:val="32"/>
          <w:szCs w:val="32"/>
        </w:rPr>
      </w:pPr>
      <w:bookmarkStart w:id="3" w:name="_Toc7920"/>
      <w:bookmarkStart w:id="4" w:name="_Toc31739"/>
      <w:r>
        <w:rPr>
          <w:rFonts w:hint="default" w:ascii="Times New Roman" w:hAnsi="Times New Roman" w:eastAsia="楷体_GB2312" w:cs="Times New Roman"/>
          <w:sz w:val="32"/>
          <w:szCs w:val="32"/>
        </w:rPr>
        <w:t>（一）发展基础</w:t>
      </w:r>
      <w:bookmarkEnd w:id="3"/>
      <w:bookmarkEnd w:id="4"/>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十三五</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时期，蓟州区坚持以习近平新时代中国特色社会主义思想为指导</w:t>
      </w:r>
      <w:r>
        <w:rPr>
          <w:rFonts w:hint="eastAsia" w:ascii="Times New Roman" w:hAnsi="Times New Roman" w:eastAsia="仿宋_GB2312" w:cs="Times New Roman"/>
          <w:sz w:val="32"/>
          <w:szCs w:val="32"/>
          <w:lang w:val="en-US" w:eastAsia="zh-CN"/>
        </w:rPr>
        <w:t>，</w:t>
      </w:r>
      <w:r>
        <w:rPr>
          <w:rFonts w:hint="default" w:ascii="Times New Roman" w:hAnsi="Times New Roman" w:eastAsia="仿宋_GB2312" w:cs="Times New Roman"/>
          <w:sz w:val="32"/>
          <w:szCs w:val="32"/>
        </w:rPr>
        <w:t>全面贯彻落实习近平总书记对天津工作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三个着力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要求和一系列重要指示批示精神，坚定不移贯彻新发展理念，扎实推进创新驱动发展战略实施，营造创新发展环境，激发创新创业活力，打造科技创新主体，构筑创新载体平台，提升科技创新能力，科技创新支撑引领经济社会发展取得明显成效。</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2"/>
        <w:rPr>
          <w:rFonts w:hint="default" w:ascii="Times New Roman" w:hAnsi="Times New Roman" w:eastAsia="仿宋_GB2312" w:cs="Times New Roman"/>
          <w:b w:val="0"/>
          <w:bCs/>
          <w:sz w:val="32"/>
          <w:szCs w:val="32"/>
        </w:rPr>
      </w:pPr>
      <w:bookmarkStart w:id="5" w:name="_Toc9859"/>
      <w:bookmarkStart w:id="6" w:name="_Toc29179"/>
      <w:bookmarkStart w:id="7" w:name="_Toc21950"/>
      <w:bookmarkStart w:id="8" w:name="_Toc23812"/>
      <w:r>
        <w:rPr>
          <w:rFonts w:hint="default" w:ascii="Times New Roman" w:hAnsi="Times New Roman" w:eastAsia="仿宋_GB2312" w:cs="Times New Roman"/>
          <w:b w:val="0"/>
          <w:bCs/>
          <w:sz w:val="32"/>
          <w:szCs w:val="32"/>
        </w:rPr>
        <w:t>1．科技创新环境不断优化</w:t>
      </w:r>
      <w:bookmarkEnd w:id="5"/>
      <w:bookmarkEnd w:id="6"/>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发挥</w:t>
      </w:r>
      <w:r>
        <w:rPr>
          <w:rFonts w:hint="default" w:ascii="Times New Roman" w:hAnsi="Times New Roman" w:eastAsia="仿宋_GB2312" w:cs="Times New Roman"/>
          <w:b w:val="0"/>
          <w:bCs/>
          <w:sz w:val="32"/>
          <w:szCs w:val="32"/>
        </w:rPr>
        <w:t>政策引导</w:t>
      </w:r>
      <w:r>
        <w:rPr>
          <w:rFonts w:hint="eastAsia" w:ascii="Times New Roman" w:hAnsi="Times New Roman" w:eastAsia="仿宋_GB2312" w:cs="Times New Roman"/>
          <w:b w:val="0"/>
          <w:bCs/>
          <w:sz w:val="32"/>
          <w:szCs w:val="32"/>
          <w:lang w:eastAsia="zh-CN"/>
        </w:rPr>
        <w:t>作用</w:t>
      </w:r>
      <w:r>
        <w:rPr>
          <w:rFonts w:hint="default" w:ascii="Times New Roman" w:hAnsi="Times New Roman" w:eastAsia="仿宋_GB2312" w:cs="Times New Roman"/>
          <w:b w:val="0"/>
          <w:bCs/>
          <w:sz w:val="32"/>
          <w:szCs w:val="32"/>
        </w:rPr>
        <w:t>，制定《贯彻落实国家创新驱动发展战略纲要实施方案》等一系列政策措施，激励创新创业。科技投入</w:t>
      </w:r>
      <w:r>
        <w:rPr>
          <w:rFonts w:hint="eastAsia" w:ascii="Times New Roman" w:hAnsi="Times New Roman" w:eastAsia="仿宋_GB2312" w:cs="Times New Roman"/>
          <w:b w:val="0"/>
          <w:bCs/>
          <w:sz w:val="32"/>
          <w:szCs w:val="32"/>
          <w:lang w:eastAsia="zh-CN"/>
        </w:rPr>
        <w:t>持续加大</w:t>
      </w:r>
      <w:r>
        <w:rPr>
          <w:rFonts w:hint="default" w:ascii="Times New Roman" w:hAnsi="Times New Roman" w:eastAsia="仿宋_GB2312" w:cs="Times New Roman"/>
          <w:b w:val="0"/>
          <w:bCs/>
          <w:sz w:val="32"/>
          <w:szCs w:val="32"/>
        </w:rPr>
        <w:t>，全社会研发投入强度达到1.65%。营商环境</w:t>
      </w:r>
      <w:r>
        <w:rPr>
          <w:rFonts w:hint="eastAsia" w:ascii="Times New Roman" w:hAnsi="Times New Roman" w:eastAsia="仿宋_GB2312" w:cs="Times New Roman"/>
          <w:b w:val="0"/>
          <w:bCs/>
          <w:sz w:val="32"/>
          <w:szCs w:val="32"/>
          <w:lang w:eastAsia="zh-CN"/>
        </w:rPr>
        <w:t>显著优化</w:t>
      </w:r>
      <w:r>
        <w:rPr>
          <w:rFonts w:hint="default" w:ascii="Times New Roman" w:hAnsi="Times New Roman" w:eastAsia="仿宋_GB2312" w:cs="Times New Roman"/>
          <w:b w:val="0"/>
          <w:bCs/>
          <w:sz w:val="32"/>
          <w:szCs w:val="32"/>
        </w:rPr>
        <w:t>，</w:t>
      </w:r>
      <w:r>
        <w:rPr>
          <w:rFonts w:hint="eastAsia" w:ascii="Times New Roman" w:hAnsi="Times New Roman" w:eastAsia="仿宋_GB2312" w:cs="Times New Roman"/>
          <w:b w:val="0"/>
          <w:bCs/>
          <w:sz w:val="32"/>
          <w:szCs w:val="32"/>
          <w:lang w:val="en-US" w:eastAsia="zh-CN"/>
        </w:rPr>
        <w:t>推进</w:t>
      </w:r>
      <w:r>
        <w:rPr>
          <w:rFonts w:hint="default" w:ascii="Times New Roman" w:hAnsi="Times New Roman" w:eastAsia="仿宋_GB2312" w:cs="Times New Roman"/>
          <w:b w:val="0"/>
          <w:bCs/>
          <w:sz w:val="32"/>
          <w:szCs w:val="32"/>
        </w:rPr>
        <w:t>政务服务标准化、便利化。</w:t>
      </w:r>
      <w:r>
        <w:rPr>
          <w:rFonts w:hint="eastAsia" w:ascii="Times New Roman" w:hAnsi="Times New Roman" w:eastAsia="仿宋_GB2312" w:cs="Times New Roman"/>
          <w:b w:val="0"/>
          <w:bCs/>
          <w:sz w:val="32"/>
          <w:szCs w:val="32"/>
          <w:lang w:val="en-US" w:eastAsia="zh-CN"/>
        </w:rPr>
        <w:t>出台</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津八条</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蓟十条</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惠企21条</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等政策措施，为科技型企业降低创新创业成本超过2亿元。全域科普</w:t>
      </w:r>
      <w:r>
        <w:rPr>
          <w:rFonts w:hint="eastAsia" w:ascii="Times New Roman" w:hAnsi="Times New Roman" w:eastAsia="仿宋_GB2312" w:cs="Times New Roman"/>
          <w:b w:val="0"/>
          <w:bCs/>
          <w:sz w:val="32"/>
          <w:szCs w:val="32"/>
          <w:lang w:eastAsia="zh-CN"/>
        </w:rPr>
        <w:t>不断深化</w:t>
      </w:r>
      <w:r>
        <w:rPr>
          <w:rFonts w:hint="default" w:ascii="Times New Roman" w:hAnsi="Times New Roman" w:eastAsia="仿宋_GB2312" w:cs="Times New Roman"/>
          <w:b w:val="0"/>
          <w:bCs/>
          <w:sz w:val="32"/>
          <w:szCs w:val="32"/>
        </w:rPr>
        <w:t>，培育创新文化，尊重科学、崇尚创新的社会氛围愈加浓厚。</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科技创新主体健康发展。强化企业创新主体地位，落实天津市创新型企业领军计划和新动能引育行动计划，打造科技型企业发展升级版，助推科技型企业规模发展、高质量发展，国家高新技术企业达到62家，国家科技型中小企业评价入库120家、</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雏鹰</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企业40家、</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瞪羚</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企业5家，发展科技领军（培育）企业3家，市级</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专精特新</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企业达到9家，</w:t>
      </w:r>
      <w:r>
        <w:rPr>
          <w:rFonts w:hint="eastAsia" w:ascii="Times New Roman" w:hAnsi="Times New Roman" w:eastAsia="仿宋_GB2312" w:cs="Times New Roman"/>
          <w:b w:val="0"/>
          <w:bCs/>
          <w:sz w:val="32"/>
          <w:szCs w:val="32"/>
          <w:lang w:eastAsia="zh-CN"/>
        </w:rPr>
        <w:t>战略性新兴</w:t>
      </w:r>
      <w:r>
        <w:rPr>
          <w:rFonts w:hint="default" w:ascii="Times New Roman" w:hAnsi="Times New Roman" w:eastAsia="仿宋_GB2312" w:cs="Times New Roman"/>
          <w:b w:val="0"/>
          <w:bCs/>
          <w:sz w:val="32"/>
          <w:szCs w:val="32"/>
        </w:rPr>
        <w:t>企业达到24家、产值占规上工业总产值比重超过20%。</w:t>
      </w:r>
      <w:bookmarkEnd w:id="7"/>
      <w:bookmarkEnd w:id="8"/>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2"/>
        <w:rPr>
          <w:rFonts w:hint="default" w:ascii="Times New Roman" w:hAnsi="Times New Roman" w:eastAsia="仿宋_GB2312" w:cs="Times New Roman"/>
          <w:b w:val="0"/>
          <w:bCs/>
          <w:sz w:val="32"/>
          <w:szCs w:val="32"/>
        </w:rPr>
      </w:pPr>
      <w:bookmarkStart w:id="9" w:name="_Toc19485"/>
      <w:bookmarkStart w:id="10" w:name="_Toc6083"/>
      <w:r>
        <w:rPr>
          <w:rFonts w:hint="default" w:ascii="Times New Roman" w:hAnsi="Times New Roman" w:eastAsia="仿宋_GB2312" w:cs="Times New Roman"/>
          <w:b w:val="0"/>
          <w:bCs/>
          <w:sz w:val="32"/>
          <w:szCs w:val="32"/>
        </w:rPr>
        <w:t>3．科技创新能力明显提升</w:t>
      </w:r>
      <w:bookmarkEnd w:id="9"/>
      <w:bookmarkEnd w:id="10"/>
      <w:r>
        <w:rPr>
          <w:rFonts w:hint="default" w:ascii="Times New Roman" w:hAnsi="Times New Roman" w:eastAsia="仿宋_GB2312" w:cs="Times New Roman"/>
          <w:b w:val="0"/>
          <w:bCs/>
          <w:sz w:val="32"/>
          <w:szCs w:val="32"/>
        </w:rPr>
        <w:t>。支持企业创新创造，实施市级以上科技创新项目80项，获天津市科技进步奖2项。促进科技成果转化，各类科技成果登记54项，技术合同交易额超过50亿元。加强知识产权保护，万人均有效发明专利拥有量达到2.1件。推进产学研合作，科技型企业与高校院所共建合作基地25个。培育科技创新人才，47名企业家入选天津市新型企业家人才库，3名青年优秀科技人才入选天津市创新人才推进计划。</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4．科技创新载体稳步建设。提升蓟州经济开发区创新载体承载力和创新力，聚集优势产业，发展科技型企业集群，装备制造企业达到209家，新材料企业达到56家，成为全区创新驱动发展的领头羊。坚持政府引导、市场化运作，建设孵化器5个、众创空间5家，企业院士专家工作站1个、博士后工作站1个，大学生创新创业基地1个，发展企业技术中心、重点实验室等创新平台15个、科技金融对接服务平台1个。</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2"/>
        <w:rPr>
          <w:rFonts w:hint="default" w:ascii="Times New Roman" w:hAnsi="Times New Roman" w:eastAsia="仿宋_GB2312" w:cs="Times New Roman"/>
          <w:b w:val="0"/>
          <w:bCs/>
          <w:sz w:val="32"/>
          <w:szCs w:val="32"/>
        </w:rPr>
      </w:pPr>
      <w:bookmarkStart w:id="11" w:name="_Toc6126"/>
      <w:bookmarkStart w:id="12" w:name="_Toc30000"/>
      <w:r>
        <w:rPr>
          <w:rFonts w:hint="default" w:ascii="Times New Roman" w:hAnsi="Times New Roman" w:eastAsia="仿宋_GB2312" w:cs="Times New Roman"/>
          <w:b w:val="0"/>
          <w:bCs/>
          <w:sz w:val="32"/>
          <w:szCs w:val="32"/>
        </w:rPr>
        <w:t>5．科技创新助力乡村振兴。实施乡村振兴科技创新行动，组织农业科技创新重点项目30项，研发转化示范推广新技术新品种280项。推行科技特派员制度，科技特派员总数达到200名，组建10个科技特派员团队，实现科技精准帮扶，带动农民创新创业。推进</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星创天地</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和农业科技园区建设，6个</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星创天地</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在科技部备案，创建市级农业科技园区1个，示范带动农业高质高效发展。</w:t>
      </w:r>
    </w:p>
    <w:bookmarkEnd w:id="11"/>
    <w:bookmarkEnd w:id="12"/>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6．科技创新成果惠及民生。推进民生领域科技创新，围绕生态环境、低碳绿色生活、城市宜居便民、美丽乡村建设、农产品安全生产等民生领域，实施20项科技示范项目，研发转化先进适用技术。围绕智能医疗与健康、智能交通与物流、智能农业、智能文化创意旅游，拓展融合应用场景，</w:t>
      </w:r>
      <w:bookmarkStart w:id="13" w:name="_Toc966"/>
      <w:bookmarkStart w:id="14" w:name="_Toc21321"/>
      <w:r>
        <w:rPr>
          <w:rFonts w:hint="default" w:ascii="Times New Roman" w:hAnsi="Times New Roman" w:eastAsia="仿宋_GB2312" w:cs="Times New Roman"/>
          <w:b w:val="0"/>
          <w:bCs/>
          <w:sz w:val="32"/>
          <w:szCs w:val="32"/>
        </w:rPr>
        <w:t>推动人工智能技术成果示范推广应用。推进智慧城市建设，城市产业云项目落地运行，智慧蓟州大数据平台建设稳步推进。</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2"/>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（二）</w:t>
      </w:r>
      <w:bookmarkEnd w:id="13"/>
      <w:bookmarkEnd w:id="14"/>
      <w:r>
        <w:rPr>
          <w:rFonts w:hint="default" w:ascii="Times New Roman" w:hAnsi="Times New Roman" w:eastAsia="楷体_GB2312" w:cs="Times New Roman"/>
          <w:sz w:val="32"/>
          <w:szCs w:val="32"/>
        </w:rPr>
        <w:t>面临形势</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napToGrid w:val="0"/>
          <w:kern w:val="0"/>
          <w:sz w:val="32"/>
          <w:szCs w:val="32"/>
        </w:rPr>
      </w:pPr>
      <w:r>
        <w:rPr>
          <w:rFonts w:hint="default" w:ascii="Times New Roman" w:hAnsi="Times New Roman" w:eastAsia="仿宋_GB2312" w:cs="Times New Roman"/>
          <w:sz w:val="32"/>
          <w:szCs w:val="32"/>
        </w:rPr>
        <w:t>当今世界正经历百年未有之大变局，以</w:t>
      </w:r>
      <w:r>
        <w:rPr>
          <w:rFonts w:hint="default" w:ascii="Times New Roman" w:hAnsi="Times New Roman" w:eastAsia="仿宋_GB2312" w:cs="Times New Roman"/>
          <w:snapToGrid w:val="0"/>
          <w:kern w:val="0"/>
          <w:sz w:val="32"/>
          <w:szCs w:val="32"/>
        </w:rPr>
        <w:t>智能技术为核心的新一轮科技革命和产业变革正在改变经济社会形态，以国内大循环为主体，国内国际双循环相互促进的新发展格局正在加快构建，科技创新成为区域发展的核心动力。党的十九届五中全会明确提出坚持创新在我国现代化建设全局中的核心地位，把科技自立自强作为国家发展的战略支撑，为深入贯彻落实创新驱动发展战略指明了方向。面对新旧动能转换、经济由高速增长向高质量发展跨越、发展模式由依靠要素投入向创新驱动转变、京津冀协同发展向纵深推进等新态势，蓟州区必须顺应新形势、迎接新挑战，紧紧抓住战略机遇期，努力克服产业基础薄弱、科技创新资源匮乏、科技创新能力不强、科技对高质量发展的支撑力不足等短板，坚持创新在蓟州</w:t>
      </w:r>
      <w:r>
        <w:rPr>
          <w:rFonts w:hint="eastAsia" w:ascii="Times New Roman" w:hAnsi="Times New Roman" w:eastAsia="仿宋_GB2312" w:cs="Times New Roman"/>
          <w:snapToGrid w:val="0"/>
          <w:kern w:val="0"/>
          <w:sz w:val="32"/>
          <w:szCs w:val="32"/>
          <w:lang w:val="en-US" w:eastAsia="zh-CN"/>
        </w:rPr>
        <w:t>推进</w:t>
      </w:r>
      <w:r>
        <w:rPr>
          <w:rFonts w:hint="default" w:ascii="Times New Roman" w:hAnsi="Times New Roman" w:eastAsia="仿宋_GB2312" w:cs="Times New Roman"/>
          <w:snapToGrid w:val="0"/>
          <w:kern w:val="0"/>
          <w:sz w:val="32"/>
          <w:szCs w:val="32"/>
        </w:rPr>
        <w:t>高质量发展和现代化建设中的核心地位，坚定不移走科技创新支撑引领高质量发展之路，加强与京津科技创新资源的深度对接，加快融入京津冀协同创新，营造优良创新生态，塑造发展新优势，</w:t>
      </w:r>
      <w:r>
        <w:rPr>
          <w:rFonts w:hint="eastAsia" w:ascii="Times New Roman" w:hAnsi="Times New Roman" w:eastAsia="仿宋_GB2312" w:cs="Times New Roman"/>
          <w:snapToGrid w:val="0"/>
          <w:kern w:val="0"/>
          <w:sz w:val="32"/>
          <w:szCs w:val="32"/>
          <w:lang w:val="en-US" w:eastAsia="zh-CN"/>
        </w:rPr>
        <w:t>为</w:t>
      </w:r>
      <w:r>
        <w:rPr>
          <w:rFonts w:hint="default" w:ascii="Times New Roman" w:hAnsi="Times New Roman" w:eastAsia="仿宋_GB2312" w:cs="Times New Roman"/>
          <w:snapToGrid w:val="0"/>
          <w:kern w:val="0"/>
          <w:sz w:val="32"/>
          <w:szCs w:val="32"/>
        </w:rPr>
        <w:t>构建</w:t>
      </w:r>
      <w:r>
        <w:rPr>
          <w:rFonts w:hint="eastAsia" w:ascii="Times New Roman" w:hAnsi="Times New Roman" w:eastAsia="仿宋_GB2312" w:cs="Times New Roman"/>
          <w:snapToGrid w:val="0"/>
          <w:kern w:val="0"/>
          <w:sz w:val="32"/>
          <w:szCs w:val="32"/>
          <w:lang w:val="en-US" w:eastAsia="zh-CN"/>
        </w:rPr>
        <w:t>新</w:t>
      </w:r>
      <w:r>
        <w:rPr>
          <w:rFonts w:hint="default" w:ascii="Times New Roman" w:hAnsi="Times New Roman" w:eastAsia="仿宋_GB2312" w:cs="Times New Roman"/>
          <w:snapToGrid w:val="0"/>
          <w:kern w:val="0"/>
          <w:sz w:val="32"/>
          <w:szCs w:val="32"/>
        </w:rPr>
        <w:t>发展格局</w:t>
      </w:r>
      <w:r>
        <w:rPr>
          <w:rFonts w:hint="eastAsia" w:ascii="Times New Roman" w:hAnsi="Times New Roman" w:eastAsia="仿宋_GB2312" w:cs="Times New Roman"/>
          <w:snapToGrid w:val="0"/>
          <w:kern w:val="0"/>
          <w:sz w:val="32"/>
          <w:szCs w:val="32"/>
          <w:lang w:val="en-US" w:eastAsia="zh-CN"/>
        </w:rPr>
        <w:t>提供有力支撑</w:t>
      </w:r>
      <w:r>
        <w:rPr>
          <w:rFonts w:hint="default" w:ascii="Times New Roman" w:hAnsi="Times New Roman" w:eastAsia="仿宋_GB2312" w:cs="Times New Roman"/>
          <w:snapToGrid w:val="0"/>
          <w:kern w:val="0"/>
          <w:sz w:val="32"/>
          <w:szCs w:val="32"/>
        </w:rPr>
        <w:t>。</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0"/>
        <w:rPr>
          <w:rFonts w:hint="default" w:ascii="Times New Roman" w:hAnsi="Times New Roman" w:eastAsia="黑体" w:cs="Times New Roman"/>
          <w:sz w:val="32"/>
          <w:szCs w:val="32"/>
        </w:rPr>
      </w:pPr>
      <w:bookmarkStart w:id="15" w:name="_Toc7251"/>
      <w:bookmarkStart w:id="16" w:name="_Toc17476"/>
      <w:r>
        <w:rPr>
          <w:rFonts w:hint="default" w:ascii="Times New Roman" w:hAnsi="Times New Roman" w:eastAsia="黑体" w:cs="Times New Roman"/>
          <w:sz w:val="32"/>
          <w:szCs w:val="32"/>
        </w:rPr>
        <w:t>二、思路与目标</w:t>
      </w:r>
      <w:bookmarkEnd w:id="15"/>
      <w:bookmarkEnd w:id="16"/>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1"/>
        <w:rPr>
          <w:rFonts w:hint="default" w:ascii="Times New Roman" w:hAnsi="Times New Roman" w:eastAsia="楷体_GB2312" w:cs="Times New Roman"/>
          <w:sz w:val="32"/>
          <w:szCs w:val="32"/>
        </w:rPr>
      </w:pPr>
      <w:bookmarkStart w:id="17" w:name="_Toc13814"/>
      <w:bookmarkStart w:id="18" w:name="_Toc2143"/>
      <w:r>
        <w:rPr>
          <w:rFonts w:hint="default" w:ascii="Times New Roman" w:hAnsi="Times New Roman" w:eastAsia="楷体_GB2312" w:cs="Times New Roman"/>
          <w:sz w:val="32"/>
          <w:szCs w:val="32"/>
        </w:rPr>
        <w:t>（一）指导思想</w:t>
      </w:r>
      <w:bookmarkEnd w:id="17"/>
      <w:bookmarkEnd w:id="18"/>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坚持以习近平新时代中国特色社会主义思想为指导，全面贯彻党的十九大和十九届二中、三中、四中、五中全会精神，深入落实习近平总书记对天津工作</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三个着力</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重要要求和关于科技创新的一系列重要指示批示精神，立足新发展阶段，贯彻新发展理念，构建新发展格局，深入实施创新驱动发展战略，深度融入京津冀协同发展，以推进高质量发展为主题，以提升科技创新能力为主线，着力加强新动能引育，着力强化企业创新主体地位，着力促进科技成果转化应用，着力创新人才引育机制，着力营造优良创新生态，为实现</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三地一城</w:t>
      </w:r>
      <w:r>
        <w:rPr>
          <w:rFonts w:hint="eastAsia" w:ascii="Times New Roman" w:hAnsi="Times New Roman" w:eastAsia="仿宋_GB2312" w:cs="Times New Roman"/>
          <w:sz w:val="32"/>
          <w:szCs w:val="32"/>
          <w:lang w:eastAsia="zh-CN"/>
        </w:rPr>
        <w:t>”</w:t>
      </w:r>
      <w:r>
        <w:rPr>
          <w:rFonts w:hint="default" w:ascii="Times New Roman" w:hAnsi="Times New Roman" w:eastAsia="仿宋_GB2312" w:cs="Times New Roman"/>
          <w:sz w:val="32"/>
          <w:szCs w:val="32"/>
        </w:rPr>
        <w:t>发展定位和建设社会主义现代化新蓟州贡献力量。</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1"/>
        <w:rPr>
          <w:rFonts w:hint="default" w:ascii="Times New Roman" w:hAnsi="Times New Roman" w:eastAsia="楷体_GB2312" w:cs="Times New Roman"/>
          <w:sz w:val="32"/>
          <w:szCs w:val="32"/>
        </w:rPr>
      </w:pPr>
      <w:bookmarkStart w:id="19" w:name="_Toc21870"/>
      <w:bookmarkStart w:id="20" w:name="_Toc26512"/>
      <w:r>
        <w:rPr>
          <w:rFonts w:hint="default" w:ascii="Times New Roman" w:hAnsi="Times New Roman" w:eastAsia="楷体_GB2312" w:cs="Times New Roman"/>
          <w:sz w:val="32"/>
          <w:szCs w:val="32"/>
        </w:rPr>
        <w:t>（二）基本原则</w:t>
      </w:r>
      <w:bookmarkEnd w:id="19"/>
      <w:bookmarkEnd w:id="20"/>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——坚持创新引领。强化科技创新与经济社会深度融合，</w:t>
      </w:r>
      <w:r>
        <w:rPr>
          <w:rFonts w:hint="default" w:ascii="Times New Roman" w:hAnsi="Times New Roman" w:eastAsia="仿宋_GB2312" w:cs="Times New Roman"/>
          <w:b w:val="0"/>
          <w:bCs w:val="0"/>
          <w:snapToGrid w:val="0"/>
          <w:kern w:val="0"/>
          <w:sz w:val="32"/>
          <w:szCs w:val="32"/>
        </w:rPr>
        <w:t>推进科技创新创业，做大新动能底盘。</w:t>
      </w:r>
      <w:r>
        <w:rPr>
          <w:rFonts w:hint="default" w:ascii="Times New Roman" w:hAnsi="Times New Roman" w:eastAsia="仿宋_GB2312" w:cs="Times New Roman"/>
          <w:b w:val="0"/>
          <w:bCs w:val="0"/>
          <w:sz w:val="32"/>
          <w:szCs w:val="32"/>
        </w:rPr>
        <w:t>聚焦重点产业，围绕产业链部署创新链，围绕创新链布局产业链，提高科技创新供给质量，推进骨干产业加快发展。</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——坚持企业主导。</w:t>
      </w:r>
      <w:r>
        <w:rPr>
          <w:rFonts w:hint="default" w:ascii="Times New Roman" w:hAnsi="Times New Roman" w:eastAsia="仿宋_GB2312" w:cs="Times New Roman"/>
          <w:b w:val="0"/>
          <w:bCs w:val="0"/>
          <w:snapToGrid w:val="0"/>
          <w:kern w:val="0"/>
          <w:sz w:val="32"/>
          <w:szCs w:val="32"/>
        </w:rPr>
        <w:t>强化企业创新主体地位，</w:t>
      </w:r>
      <w:r>
        <w:rPr>
          <w:rFonts w:hint="default" w:ascii="Times New Roman" w:hAnsi="Times New Roman" w:eastAsia="仿宋_GB2312" w:cs="Times New Roman"/>
          <w:b w:val="0"/>
          <w:bCs w:val="0"/>
          <w:sz w:val="32"/>
          <w:szCs w:val="32"/>
        </w:rPr>
        <w:t>加快创新要素向企业集聚</w:t>
      </w:r>
      <w:r>
        <w:rPr>
          <w:rFonts w:hint="default" w:ascii="Times New Roman" w:hAnsi="Times New Roman" w:eastAsia="仿宋_GB2312" w:cs="Times New Roman"/>
          <w:b w:val="0"/>
          <w:bCs w:val="0"/>
          <w:snapToGrid w:val="0"/>
          <w:kern w:val="0"/>
          <w:sz w:val="32"/>
          <w:szCs w:val="32"/>
        </w:rPr>
        <w:t>，推动企业成为技术创新决策、研发投入、科研组织和成果转化的主体。强化创新型企业群体培育，打造高成长性企业接续发展梯队。</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——坚持协同共享。积极融入京津冀协同发展战略布局，加强与北京科技创新策源地深度对接，推进协同创新。加强应用示范和场景创新，促进科技成果转化，推动科技创新与赋能民生紧密结合。</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——坚持绿色生态。立足</w:t>
      </w:r>
      <w:r>
        <w:rPr>
          <w:rFonts w:hint="eastAsia" w:ascii="Times New Roman" w:hAnsi="Times New Roman" w:eastAsia="仿宋_GB2312" w:cs="Times New Roman"/>
          <w:b w:val="0"/>
          <w:bCs w:val="0"/>
          <w:sz w:val="32"/>
          <w:szCs w:val="32"/>
          <w:lang w:val="en-US" w:eastAsia="zh-CN"/>
        </w:rPr>
        <w:t>京津冀</w:t>
      </w:r>
      <w:r>
        <w:rPr>
          <w:rFonts w:hint="default" w:ascii="Times New Roman" w:hAnsi="Times New Roman" w:eastAsia="仿宋_GB2312" w:cs="Times New Roman"/>
          <w:b w:val="0"/>
          <w:bCs w:val="0"/>
          <w:sz w:val="32"/>
          <w:szCs w:val="32"/>
        </w:rPr>
        <w:t>生态涵养</w:t>
      </w:r>
      <w:r>
        <w:rPr>
          <w:rFonts w:hint="eastAsia" w:ascii="Times New Roman" w:hAnsi="Times New Roman" w:eastAsia="仿宋_GB2312" w:cs="Times New Roman"/>
          <w:b w:val="0"/>
          <w:bCs w:val="0"/>
          <w:sz w:val="32"/>
          <w:szCs w:val="32"/>
          <w:lang w:val="en-US" w:eastAsia="zh-CN"/>
        </w:rPr>
        <w:t>发展</w:t>
      </w:r>
      <w:r>
        <w:rPr>
          <w:rFonts w:hint="default" w:ascii="Times New Roman" w:hAnsi="Times New Roman" w:eastAsia="仿宋_GB2312" w:cs="Times New Roman"/>
          <w:b w:val="0"/>
          <w:bCs w:val="0"/>
          <w:sz w:val="32"/>
          <w:szCs w:val="32"/>
        </w:rPr>
        <w:t>区功能定位，统筹山水林田湖草系统治理、产业结构向低碳模式转变的现实需求，推进科技创新与生态环境保护紧密结合，为构建资源节约型、生态环保型产业体系提供科技支撑。</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napToGrid w:val="0"/>
          <w:kern w:val="0"/>
          <w:sz w:val="32"/>
          <w:szCs w:val="32"/>
        </w:rPr>
        <w:t>——坚持</w:t>
      </w:r>
      <w:r>
        <w:rPr>
          <w:rFonts w:hint="eastAsia" w:ascii="Times New Roman" w:hAnsi="Times New Roman" w:eastAsia="仿宋_GB2312" w:cs="Times New Roman"/>
          <w:b w:val="0"/>
          <w:bCs w:val="0"/>
          <w:snapToGrid w:val="0"/>
          <w:kern w:val="0"/>
          <w:sz w:val="32"/>
          <w:szCs w:val="32"/>
          <w:lang w:eastAsia="zh-CN"/>
        </w:rPr>
        <w:t>以人</w:t>
      </w:r>
      <w:r>
        <w:rPr>
          <w:rFonts w:hint="default" w:ascii="Times New Roman" w:hAnsi="Times New Roman" w:eastAsia="仿宋_GB2312" w:cs="Times New Roman"/>
          <w:b w:val="0"/>
          <w:bCs w:val="0"/>
          <w:snapToGrid w:val="0"/>
          <w:kern w:val="0"/>
          <w:sz w:val="32"/>
          <w:szCs w:val="32"/>
        </w:rPr>
        <w:t>为本。实施人才强区战略，全方位引才育才用才。大力引进高层次人才，集聚科技领军人才和创新团队。加强创新人才培养，打造优秀青年科技人才队伍。优化创新激励和保障机制，激发人才的积极性、主动性和创造性。</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outlineLvl w:val="1"/>
        <w:rPr>
          <w:rFonts w:hint="default" w:ascii="Times New Roman" w:hAnsi="Times New Roman" w:eastAsia="楷体_GB2312" w:cs="Times New Roman"/>
          <w:sz w:val="32"/>
          <w:szCs w:val="32"/>
        </w:rPr>
      </w:pPr>
      <w:bookmarkStart w:id="21" w:name="_Toc18075"/>
      <w:bookmarkStart w:id="22" w:name="_Toc7711"/>
      <w:r>
        <w:rPr>
          <w:rFonts w:hint="default" w:ascii="Times New Roman" w:hAnsi="Times New Roman" w:eastAsia="楷体_GB2312" w:cs="Times New Roman"/>
          <w:sz w:val="32"/>
          <w:szCs w:val="32"/>
        </w:rPr>
        <w:t>（三）发展目标</w:t>
      </w:r>
      <w:bookmarkEnd w:id="21"/>
      <w:bookmarkEnd w:id="22"/>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Cs/>
          <w:sz w:val="32"/>
          <w:szCs w:val="32"/>
        </w:rPr>
        <w:t>到2025年，创新驱动高质量发展取得显著成效，科技</w:t>
      </w:r>
      <w:r>
        <w:rPr>
          <w:rFonts w:hint="default" w:ascii="Times New Roman" w:hAnsi="Times New Roman" w:eastAsia="仿宋_GB2312" w:cs="Times New Roman"/>
          <w:sz w:val="32"/>
          <w:szCs w:val="32"/>
        </w:rPr>
        <w:t>创新对</w:t>
      </w:r>
      <w:r>
        <w:rPr>
          <w:rFonts w:hint="default" w:ascii="Times New Roman" w:hAnsi="Times New Roman" w:eastAsia="仿宋_GB2312" w:cs="Times New Roman"/>
          <w:b w:val="0"/>
          <w:bCs w:val="0"/>
          <w:sz w:val="32"/>
          <w:szCs w:val="32"/>
        </w:rPr>
        <w:t>建设社会主义现代化新蓟州的支撑能力明显提升。</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科技创新能力不断增强。科技创新要素加快聚集，创新载体平台体系日臻完善，面向京津冀科技孵化应用基地建设布局初见成效。组织实施一批科技创新项目，研发应用一批关键核心技术成果，科技创新驱动产业链供应链优化升级，科技赋能产业创新的效果更加明显。</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科技型企业高质量发展。企业创新主体地位不断强化，高新技术企业和科技型企业群体实现规模发展、质量提升。建立创新型企业梯次培育机制，国家科技型中小企业和雏鹰、瞪羚企业加快发展，战略性新兴产业企业集聚发展，单项冠军企业、专精特新企业突破性发展。</w:t>
      </w:r>
    </w:p>
    <w:p>
      <w:pPr>
        <w:keepNext w:val="0"/>
        <w:keepLines w:val="0"/>
        <w:pageBreakBefore w:val="0"/>
        <w:widowControl w:val="0"/>
        <w:kinsoku/>
        <w:wordWrap/>
        <w:overflowPunct/>
        <w:topLinePunct w:val="0"/>
        <w:autoSpaceDE/>
        <w:autoSpaceDN/>
        <w:bidi w:val="0"/>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科技成果转化成效明显。成果转移转化服务体系更加完善，技术转移服务机构加快发展，培育一批科技成果转化示范企业，在高端制造业、现代农业、生态治理等领域打造一批集成应用标志性成果。实现技术合同成交额大幅提升。</w:t>
      </w:r>
    </w:p>
    <w:p>
      <w:pPr>
        <w:keepNext w:val="0"/>
        <w:keepLines w:val="0"/>
        <w:pageBreakBefore w:val="0"/>
        <w:widowControl w:val="0"/>
        <w:kinsoku/>
        <w:wordWrap/>
        <w:overflowPunct/>
        <w:topLinePunct w:val="0"/>
        <w:autoSpaceDE/>
        <w:autoSpaceDN/>
        <w:bidi w:val="0"/>
        <w:adjustRightInd w:val="0"/>
        <w:snapToGrid w:val="0"/>
        <w:spacing w:line="520" w:lineRule="exact"/>
        <w:ind w:firstLine="640" w:firstLineChars="200"/>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——科技创新生态更加优化。政策支撑体系不断完善，高层次科技人才聚集效应明显，人才创新活力进一步激发，营商环境不断优化，科技创新资源配置更加科学</w:t>
      </w:r>
      <w:r>
        <w:rPr>
          <w:rFonts w:hint="default" w:ascii="Times New Roman" w:hAnsi="Times New Roman" w:eastAsia="仿宋_GB2312" w:cs="Times New Roman"/>
          <w:sz w:val="32"/>
          <w:szCs w:val="32"/>
        </w:rPr>
        <w:t>高效，科技创新氛围更加浓厚，全民科学文化素养明显提升。</w:t>
      </w:r>
    </w:p>
    <w:p>
      <w:pPr>
        <w:pStyle w:val="2"/>
        <w:rPr>
          <w:rFonts w:hint="default"/>
        </w:rPr>
      </w:pPr>
    </w:p>
    <w:p>
      <w:pPr>
        <w:spacing w:afterLines="50" w:line="560" w:lineRule="exact"/>
        <w:ind w:firstLine="72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专栏</w:t>
      </w:r>
      <w:r>
        <w:rPr>
          <w:rFonts w:hint="eastAsia" w:ascii="Times New Roman" w:hAnsi="Times New Roman" w:eastAsia="仿宋_GB2312" w:cs="Times New Roman"/>
          <w:b/>
          <w:bCs/>
          <w:sz w:val="30"/>
          <w:szCs w:val="30"/>
          <w:lang w:val="en-US" w:eastAsia="zh-CN"/>
        </w:rPr>
        <w:t>一</w:t>
      </w:r>
      <w:r>
        <w:rPr>
          <w:rFonts w:hint="eastAsia" w:ascii="仿宋_GB2312" w:hAnsi="仿宋_GB2312" w:eastAsia="仿宋_GB2312" w:cs="仿宋_GB2312"/>
          <w:b/>
          <w:bCs/>
          <w:sz w:val="30"/>
          <w:szCs w:val="30"/>
        </w:rPr>
        <w:t>：蓟州区科技创新</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十四五</w:t>
      </w:r>
      <w:r>
        <w:rPr>
          <w:rFonts w:hint="eastAsia" w:ascii="仿宋_GB2312" w:hAnsi="仿宋_GB2312" w:eastAsia="仿宋_GB2312" w:cs="仿宋_GB2312"/>
          <w:b/>
          <w:bCs/>
          <w:sz w:val="30"/>
          <w:szCs w:val="30"/>
          <w:lang w:eastAsia="zh-CN"/>
        </w:rPr>
        <w:t>”</w:t>
      </w:r>
      <w:r>
        <w:rPr>
          <w:rFonts w:hint="eastAsia" w:ascii="仿宋_GB2312" w:hAnsi="仿宋_GB2312" w:eastAsia="仿宋_GB2312" w:cs="仿宋_GB2312"/>
          <w:b/>
          <w:bCs/>
          <w:sz w:val="30"/>
          <w:szCs w:val="30"/>
        </w:rPr>
        <w:t>规划主要指标</w:t>
      </w:r>
    </w:p>
    <w:tbl>
      <w:tblPr>
        <w:tblStyle w:val="5"/>
        <w:tblW w:w="92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85"/>
        <w:gridCol w:w="4033"/>
        <w:gridCol w:w="1371"/>
        <w:gridCol w:w="1871"/>
        <w:gridCol w:w="11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40" w:hRule="exact"/>
        </w:trPr>
        <w:tc>
          <w:tcPr>
            <w:tcW w:w="885" w:type="dxa"/>
            <w:vAlign w:val="center"/>
          </w:tcPr>
          <w:p>
            <w:pPr>
              <w:spacing w:line="56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z w:val="30"/>
                <w:szCs w:val="30"/>
              </w:rPr>
              <w:t>序号</w:t>
            </w:r>
          </w:p>
        </w:tc>
        <w:tc>
          <w:tcPr>
            <w:tcW w:w="4033" w:type="dxa"/>
            <w:vAlign w:val="center"/>
          </w:tcPr>
          <w:p>
            <w:pPr>
              <w:spacing w:line="560" w:lineRule="exact"/>
              <w:jc w:val="center"/>
              <w:rPr>
                <w:rFonts w:hint="default" w:ascii="Times New Roman" w:hAnsi="Times New Roman" w:eastAsia="黑体" w:cs="Times New Roman"/>
                <w:bCs/>
                <w:spacing w:val="-11"/>
                <w:sz w:val="30"/>
                <w:szCs w:val="30"/>
              </w:rPr>
            </w:pPr>
            <w:r>
              <w:rPr>
                <w:rFonts w:hint="default" w:ascii="Times New Roman" w:hAnsi="Times New Roman" w:eastAsia="黑体" w:cs="Times New Roman"/>
                <w:bCs/>
                <w:spacing w:val="-11"/>
                <w:sz w:val="30"/>
                <w:szCs w:val="30"/>
              </w:rPr>
              <w:t>指标（单位）</w:t>
            </w:r>
          </w:p>
        </w:tc>
        <w:tc>
          <w:tcPr>
            <w:tcW w:w="1371" w:type="dxa"/>
            <w:vAlign w:val="center"/>
          </w:tcPr>
          <w:p>
            <w:pPr>
              <w:spacing w:line="560" w:lineRule="exact"/>
              <w:jc w:val="center"/>
              <w:rPr>
                <w:rFonts w:hint="default" w:ascii="Times New Roman" w:hAnsi="Times New Roman" w:eastAsia="黑体" w:cs="Times New Roman"/>
                <w:bCs/>
                <w:sz w:val="30"/>
                <w:szCs w:val="30"/>
              </w:rPr>
            </w:pPr>
            <w:r>
              <w:rPr>
                <w:rFonts w:hint="default" w:ascii="Times New Roman" w:hAnsi="Times New Roman" w:eastAsia="仿宋_GB2312" w:cs="Times New Roman"/>
                <w:sz w:val="30"/>
                <w:szCs w:val="30"/>
              </w:rPr>
              <w:t>2020</w:t>
            </w:r>
            <w:r>
              <w:rPr>
                <w:rFonts w:hint="default" w:ascii="Times New Roman" w:hAnsi="Times New Roman" w:eastAsia="黑体" w:cs="Times New Roman"/>
                <w:bCs/>
                <w:spacing w:val="-11"/>
                <w:sz w:val="30"/>
                <w:szCs w:val="30"/>
              </w:rPr>
              <w:t>年</w:t>
            </w:r>
          </w:p>
        </w:tc>
        <w:tc>
          <w:tcPr>
            <w:tcW w:w="1871" w:type="dxa"/>
            <w:vAlign w:val="center"/>
          </w:tcPr>
          <w:p>
            <w:pPr>
              <w:spacing w:line="560" w:lineRule="exact"/>
              <w:jc w:val="center"/>
              <w:rPr>
                <w:rFonts w:hint="default" w:ascii="Times New Roman" w:hAnsi="Times New Roman" w:eastAsia="黑体" w:cs="Times New Roman"/>
                <w:bCs/>
                <w:sz w:val="30"/>
                <w:szCs w:val="30"/>
              </w:rPr>
            </w:pPr>
            <w:r>
              <w:rPr>
                <w:rFonts w:hint="default" w:ascii="Times New Roman" w:hAnsi="Times New Roman" w:eastAsia="仿宋_GB2312" w:cs="Times New Roman"/>
                <w:sz w:val="30"/>
                <w:szCs w:val="30"/>
              </w:rPr>
              <w:t>2025</w:t>
            </w:r>
            <w:r>
              <w:rPr>
                <w:rFonts w:hint="default" w:ascii="Times New Roman" w:hAnsi="Times New Roman" w:eastAsia="黑体" w:cs="Times New Roman"/>
                <w:bCs/>
                <w:sz w:val="30"/>
                <w:szCs w:val="30"/>
              </w:rPr>
              <w:t>年目标</w:t>
            </w:r>
          </w:p>
        </w:tc>
        <w:tc>
          <w:tcPr>
            <w:tcW w:w="1110" w:type="dxa"/>
            <w:vAlign w:val="center"/>
          </w:tcPr>
          <w:p>
            <w:pPr>
              <w:spacing w:line="560" w:lineRule="exact"/>
              <w:jc w:val="center"/>
              <w:rPr>
                <w:rFonts w:hint="default" w:ascii="Times New Roman" w:hAnsi="Times New Roman" w:eastAsia="黑体" w:cs="Times New Roman"/>
                <w:bCs/>
                <w:sz w:val="30"/>
                <w:szCs w:val="30"/>
              </w:rPr>
            </w:pPr>
            <w:r>
              <w:rPr>
                <w:rFonts w:hint="default" w:ascii="Times New Roman" w:hAnsi="Times New Roman" w:eastAsia="黑体" w:cs="Times New Roman"/>
                <w:bCs/>
                <w:spacing w:val="-11"/>
                <w:sz w:val="30"/>
                <w:szCs w:val="30"/>
              </w:rPr>
              <w:t>属性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0" w:hRule="exact"/>
        </w:trPr>
        <w:tc>
          <w:tcPr>
            <w:tcW w:w="885" w:type="dxa"/>
            <w:vAlign w:val="center"/>
          </w:tcPr>
          <w:p>
            <w:pPr>
              <w:spacing w:line="400" w:lineRule="exact"/>
              <w:jc w:val="center"/>
              <w:rPr>
                <w:rFonts w:hint="default" w:ascii="Times New Roman" w:hAnsi="Times New Roman" w:eastAsia="仿宋_GB2312" w:cs="Times New Roman"/>
                <w:b/>
                <w:sz w:val="30"/>
                <w:szCs w:val="30"/>
              </w:rPr>
            </w:pPr>
            <w:r>
              <w:rPr>
                <w:rFonts w:hint="default" w:ascii="Times New Roman" w:hAnsi="Times New Roman" w:eastAsia="仿宋_GB2312" w:cs="Times New Roman"/>
                <w:bCs/>
                <w:spacing w:val="-11"/>
                <w:sz w:val="30"/>
                <w:szCs w:val="30"/>
              </w:rPr>
              <w:t>1</w:t>
            </w:r>
          </w:p>
        </w:tc>
        <w:tc>
          <w:tcPr>
            <w:tcW w:w="4033" w:type="dxa"/>
            <w:vAlign w:val="center"/>
          </w:tcPr>
          <w:p>
            <w:pPr>
              <w:spacing w:line="400" w:lineRule="exac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全社会研究与试验发展经费（R&amp;D）支出占地区生产总值比重（%）</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1.65</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p>
        </w:tc>
        <w:tc>
          <w:tcPr>
            <w:tcW w:w="1110" w:type="dxa"/>
            <w:vAlign w:val="center"/>
          </w:tcPr>
          <w:p>
            <w:pPr>
              <w:spacing w:line="400" w:lineRule="exact"/>
              <w:jc w:val="center"/>
              <w:rPr>
                <w:rFonts w:hint="default" w:ascii="Times New Roman" w:hAnsi="Times New Roman" w:eastAsia="仿宋_GB2312" w:cs="Times New Roman"/>
                <w:b/>
                <w:sz w:val="30"/>
                <w:szCs w:val="30"/>
              </w:rPr>
            </w:pPr>
            <w:r>
              <w:rPr>
                <w:rFonts w:hint="default" w:ascii="Times New Roman" w:hAnsi="Times New Roman" w:eastAsia="仿宋_GB2312" w:cs="Times New Roman"/>
                <w:bCs/>
                <w:spacing w:val="-11"/>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10" w:hRule="exact"/>
        </w:trPr>
        <w:tc>
          <w:tcPr>
            <w:tcW w:w="885" w:type="dxa"/>
            <w:vAlign w:val="center"/>
          </w:tcPr>
          <w:p>
            <w:pPr>
              <w:spacing w:line="400" w:lineRule="exact"/>
              <w:jc w:val="center"/>
              <w:rPr>
                <w:rFonts w:hint="default" w:ascii="Times New Roman" w:hAnsi="Times New Roman" w:eastAsia="仿宋_GB2312" w:cs="Times New Roman"/>
                <w:b/>
                <w:sz w:val="30"/>
                <w:szCs w:val="30"/>
              </w:rPr>
            </w:pPr>
            <w:r>
              <w:rPr>
                <w:rFonts w:hint="default" w:ascii="Times New Roman" w:hAnsi="Times New Roman" w:eastAsia="仿宋_GB2312" w:cs="Times New Roman"/>
                <w:bCs/>
                <w:spacing w:val="-11"/>
                <w:sz w:val="30"/>
                <w:szCs w:val="30"/>
              </w:rPr>
              <w:t>2</w:t>
            </w:r>
          </w:p>
        </w:tc>
        <w:tc>
          <w:tcPr>
            <w:tcW w:w="4033" w:type="dxa"/>
            <w:vAlign w:val="center"/>
          </w:tcPr>
          <w:p>
            <w:pPr>
              <w:spacing w:line="400" w:lineRule="exac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技术合同交易额（亿元）</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20</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30</w:t>
            </w:r>
          </w:p>
        </w:tc>
        <w:tc>
          <w:tcPr>
            <w:tcW w:w="1110" w:type="dxa"/>
            <w:vAlign w:val="center"/>
          </w:tcPr>
          <w:p>
            <w:pPr>
              <w:spacing w:line="400" w:lineRule="exact"/>
              <w:jc w:val="center"/>
              <w:rPr>
                <w:rFonts w:hint="default" w:ascii="Times New Roman" w:hAnsi="Times New Roman" w:eastAsia="仿宋_GB2312" w:cs="Times New Roman"/>
                <w:b/>
                <w:sz w:val="30"/>
                <w:szCs w:val="30"/>
              </w:rPr>
            </w:pPr>
            <w:r>
              <w:rPr>
                <w:rFonts w:hint="default" w:ascii="Times New Roman" w:hAnsi="Times New Roman" w:eastAsia="仿宋_GB2312" w:cs="Times New Roman"/>
                <w:bCs/>
                <w:spacing w:val="-11"/>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4" w:hRule="exact"/>
        </w:trPr>
        <w:tc>
          <w:tcPr>
            <w:tcW w:w="885" w:type="dxa"/>
            <w:vAlign w:val="center"/>
          </w:tcPr>
          <w:p>
            <w:pPr>
              <w:spacing w:line="400" w:lineRule="exact"/>
              <w:jc w:val="center"/>
              <w:rPr>
                <w:rFonts w:hint="default" w:ascii="Times New Roman" w:hAnsi="Times New Roman" w:eastAsia="仿宋_GB2312" w:cs="Times New Roman"/>
                <w:b/>
                <w:sz w:val="30"/>
                <w:szCs w:val="30"/>
              </w:rPr>
            </w:pPr>
            <w:r>
              <w:rPr>
                <w:rFonts w:hint="default" w:ascii="Times New Roman" w:hAnsi="Times New Roman" w:eastAsia="仿宋_GB2312" w:cs="Times New Roman"/>
                <w:bCs/>
                <w:spacing w:val="-11"/>
                <w:sz w:val="30"/>
                <w:szCs w:val="30"/>
              </w:rPr>
              <w:t>3</w:t>
            </w:r>
          </w:p>
        </w:tc>
        <w:tc>
          <w:tcPr>
            <w:tcW w:w="4033" w:type="dxa"/>
            <w:vAlign w:val="center"/>
          </w:tcPr>
          <w:p>
            <w:pPr>
              <w:spacing w:line="400" w:lineRule="exac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每万人口有效发明专利拥有量（件）</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2.1</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w:t>
            </w:r>
          </w:p>
        </w:tc>
        <w:tc>
          <w:tcPr>
            <w:tcW w:w="1110" w:type="dxa"/>
            <w:vAlign w:val="center"/>
          </w:tcPr>
          <w:p>
            <w:pPr>
              <w:spacing w:line="400" w:lineRule="exact"/>
              <w:jc w:val="center"/>
              <w:rPr>
                <w:rFonts w:hint="default" w:ascii="Times New Roman" w:hAnsi="Times New Roman" w:eastAsia="仿宋_GB2312" w:cs="Times New Roman"/>
                <w:b/>
                <w:sz w:val="30"/>
                <w:szCs w:val="30"/>
              </w:rPr>
            </w:pPr>
            <w:r>
              <w:rPr>
                <w:rFonts w:hint="default" w:ascii="Times New Roman" w:hAnsi="Times New Roman" w:eastAsia="仿宋_GB2312" w:cs="Times New Roman"/>
                <w:bCs/>
                <w:spacing w:val="-11"/>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85" w:type="dxa"/>
            <w:vAlign w:val="center"/>
          </w:tcPr>
          <w:p>
            <w:pPr>
              <w:spacing w:line="400" w:lineRule="exact"/>
              <w:jc w:val="center"/>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4</w:t>
            </w:r>
          </w:p>
        </w:tc>
        <w:tc>
          <w:tcPr>
            <w:tcW w:w="4033" w:type="dxa"/>
            <w:vAlign w:val="center"/>
          </w:tcPr>
          <w:p>
            <w:pPr>
              <w:spacing w:line="400" w:lineRule="exac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国家高新技术企业数量（家）</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62</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90</w:t>
            </w:r>
          </w:p>
        </w:tc>
        <w:tc>
          <w:tcPr>
            <w:tcW w:w="1110" w:type="dxa"/>
            <w:vAlign w:val="center"/>
          </w:tcPr>
          <w:p>
            <w:pPr>
              <w:spacing w:line="400" w:lineRule="exact"/>
              <w:jc w:val="center"/>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0" w:hRule="exact"/>
        </w:trPr>
        <w:tc>
          <w:tcPr>
            <w:tcW w:w="885" w:type="dxa"/>
            <w:vAlign w:val="center"/>
          </w:tcPr>
          <w:p>
            <w:pPr>
              <w:spacing w:line="400" w:lineRule="exact"/>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5</w:t>
            </w:r>
          </w:p>
        </w:tc>
        <w:tc>
          <w:tcPr>
            <w:tcW w:w="4033" w:type="dxa"/>
            <w:vAlign w:val="center"/>
          </w:tcPr>
          <w:p>
            <w:pPr>
              <w:spacing w:line="400" w:lineRule="exac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国家科技型中小企业数量（家）</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120</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150</w:t>
            </w:r>
          </w:p>
        </w:tc>
        <w:tc>
          <w:tcPr>
            <w:tcW w:w="1110" w:type="dxa"/>
            <w:vAlign w:val="center"/>
          </w:tcPr>
          <w:p>
            <w:pPr>
              <w:spacing w:line="400" w:lineRule="exact"/>
              <w:jc w:val="center"/>
              <w:rPr>
                <w:rFonts w:hint="default" w:ascii="Times New Roman" w:hAnsi="Times New Roman" w:eastAsia="仿宋_GB2312" w:cs="Times New Roman"/>
                <w:b/>
                <w:sz w:val="30"/>
                <w:szCs w:val="30"/>
              </w:rPr>
            </w:pPr>
            <w:r>
              <w:rPr>
                <w:rFonts w:hint="default" w:ascii="Times New Roman" w:hAnsi="Times New Roman" w:eastAsia="仿宋_GB2312" w:cs="Times New Roman"/>
                <w:bCs/>
                <w:spacing w:val="-11"/>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5" w:type="dxa"/>
            <w:vAlign w:val="center"/>
          </w:tcPr>
          <w:p>
            <w:pPr>
              <w:spacing w:line="400" w:lineRule="exact"/>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6</w:t>
            </w:r>
          </w:p>
        </w:tc>
        <w:tc>
          <w:tcPr>
            <w:tcW w:w="4033" w:type="dxa"/>
            <w:vAlign w:val="center"/>
          </w:tcPr>
          <w:p>
            <w:pPr>
              <w:spacing w:line="400" w:lineRule="exac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雏鹰企业数量（家）</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40</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60</w:t>
            </w:r>
          </w:p>
        </w:tc>
        <w:tc>
          <w:tcPr>
            <w:tcW w:w="1110" w:type="dxa"/>
            <w:vAlign w:val="center"/>
          </w:tcPr>
          <w:p>
            <w:pPr>
              <w:spacing w:line="400" w:lineRule="exact"/>
              <w:jc w:val="center"/>
              <w:rPr>
                <w:rFonts w:hint="default" w:ascii="Times New Roman" w:hAnsi="Times New Roman" w:eastAsia="仿宋_GB2312" w:cs="Times New Roman"/>
                <w:b/>
                <w:sz w:val="30"/>
                <w:szCs w:val="30"/>
              </w:rPr>
            </w:pPr>
            <w:r>
              <w:rPr>
                <w:rFonts w:hint="default" w:ascii="Times New Roman" w:hAnsi="Times New Roman" w:eastAsia="仿宋_GB2312" w:cs="Times New Roman"/>
                <w:bCs/>
                <w:spacing w:val="-11"/>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exact"/>
        </w:trPr>
        <w:tc>
          <w:tcPr>
            <w:tcW w:w="885" w:type="dxa"/>
            <w:vAlign w:val="center"/>
          </w:tcPr>
          <w:p>
            <w:pPr>
              <w:spacing w:line="400" w:lineRule="exact"/>
              <w:jc w:val="center"/>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7</w:t>
            </w:r>
          </w:p>
        </w:tc>
        <w:tc>
          <w:tcPr>
            <w:tcW w:w="4033" w:type="dxa"/>
            <w:vAlign w:val="center"/>
          </w:tcPr>
          <w:p>
            <w:pPr>
              <w:spacing w:line="400" w:lineRule="exac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瞪羚企业数量（家）</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10</w:t>
            </w:r>
          </w:p>
        </w:tc>
        <w:tc>
          <w:tcPr>
            <w:tcW w:w="1110" w:type="dxa"/>
            <w:vAlign w:val="center"/>
          </w:tcPr>
          <w:p>
            <w:pPr>
              <w:spacing w:line="400" w:lineRule="exact"/>
              <w:jc w:val="center"/>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20" w:hRule="exact"/>
        </w:trPr>
        <w:tc>
          <w:tcPr>
            <w:tcW w:w="885" w:type="dxa"/>
            <w:vAlign w:val="center"/>
          </w:tcPr>
          <w:p>
            <w:pPr>
              <w:spacing w:line="400" w:lineRule="exact"/>
              <w:jc w:val="center"/>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8</w:t>
            </w:r>
          </w:p>
        </w:tc>
        <w:tc>
          <w:tcPr>
            <w:tcW w:w="4033" w:type="dxa"/>
            <w:vAlign w:val="center"/>
          </w:tcPr>
          <w:p>
            <w:pPr>
              <w:spacing w:line="400" w:lineRule="exac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科技领军（培育）企业数量（家）</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5</w:t>
            </w:r>
          </w:p>
        </w:tc>
        <w:tc>
          <w:tcPr>
            <w:tcW w:w="1110" w:type="dxa"/>
            <w:vAlign w:val="center"/>
          </w:tcPr>
          <w:p>
            <w:pPr>
              <w:spacing w:line="400" w:lineRule="exact"/>
              <w:jc w:val="center"/>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0" w:hRule="exact"/>
        </w:trPr>
        <w:tc>
          <w:tcPr>
            <w:tcW w:w="885" w:type="dxa"/>
            <w:vAlign w:val="center"/>
          </w:tcPr>
          <w:p>
            <w:pPr>
              <w:spacing w:line="400" w:lineRule="exact"/>
              <w:jc w:val="center"/>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9</w:t>
            </w:r>
          </w:p>
        </w:tc>
        <w:tc>
          <w:tcPr>
            <w:tcW w:w="4033" w:type="dxa"/>
            <w:vAlign w:val="center"/>
          </w:tcPr>
          <w:p>
            <w:pPr>
              <w:spacing w:line="400" w:lineRule="exact"/>
              <w:jc w:val="lef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工业战略性新兴产业增加值占规模以上工业增加值比重（%）</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24.3</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30</w:t>
            </w:r>
          </w:p>
        </w:tc>
        <w:tc>
          <w:tcPr>
            <w:tcW w:w="1110" w:type="dxa"/>
            <w:vAlign w:val="center"/>
          </w:tcPr>
          <w:p>
            <w:pPr>
              <w:spacing w:line="400" w:lineRule="exact"/>
              <w:jc w:val="center"/>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预期性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5" w:hRule="exact"/>
        </w:trPr>
        <w:tc>
          <w:tcPr>
            <w:tcW w:w="885" w:type="dxa"/>
            <w:vAlign w:val="center"/>
          </w:tcPr>
          <w:p>
            <w:pPr>
              <w:spacing w:line="400" w:lineRule="exact"/>
              <w:jc w:val="center"/>
              <w:rPr>
                <w:rFonts w:hint="default" w:ascii="Times New Roman" w:hAnsi="Times New Roman" w:eastAsia="仿宋_GB2312" w:cs="Times New Roman"/>
                <w:bCs/>
                <w:sz w:val="30"/>
                <w:szCs w:val="30"/>
              </w:rPr>
            </w:pPr>
            <w:r>
              <w:rPr>
                <w:rFonts w:hint="default" w:ascii="Times New Roman" w:hAnsi="Times New Roman" w:eastAsia="仿宋_GB2312" w:cs="Times New Roman"/>
                <w:bCs/>
                <w:sz w:val="30"/>
                <w:szCs w:val="30"/>
              </w:rPr>
              <w:t>10</w:t>
            </w:r>
          </w:p>
        </w:tc>
        <w:tc>
          <w:tcPr>
            <w:tcW w:w="4033" w:type="dxa"/>
            <w:vAlign w:val="center"/>
          </w:tcPr>
          <w:p>
            <w:pPr>
              <w:spacing w:line="400" w:lineRule="exact"/>
              <w:rPr>
                <w:rFonts w:hint="default" w:ascii="Times New Roman" w:hAnsi="Times New Roman" w:eastAsia="仿宋_GB2312" w:cs="Times New Roman"/>
                <w:bCs/>
                <w:spacing w:val="-11"/>
                <w:sz w:val="30"/>
                <w:szCs w:val="30"/>
              </w:rPr>
            </w:pPr>
            <w:r>
              <w:rPr>
                <w:rFonts w:hint="default" w:ascii="Times New Roman" w:hAnsi="Times New Roman" w:eastAsia="仿宋_GB2312" w:cs="Times New Roman"/>
                <w:bCs/>
                <w:spacing w:val="-11"/>
                <w:sz w:val="30"/>
                <w:szCs w:val="30"/>
              </w:rPr>
              <w:t>公民科学素养达标率（%）</w:t>
            </w:r>
          </w:p>
        </w:tc>
        <w:tc>
          <w:tcPr>
            <w:tcW w:w="13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8.2</w:t>
            </w:r>
          </w:p>
        </w:tc>
        <w:tc>
          <w:tcPr>
            <w:tcW w:w="1871" w:type="dxa"/>
            <w:vAlign w:val="center"/>
          </w:tcPr>
          <w:p>
            <w:pPr>
              <w:spacing w:line="400" w:lineRule="exact"/>
              <w:jc w:val="center"/>
              <w:rPr>
                <w:rFonts w:hint="default" w:ascii="Times New Roman" w:hAnsi="Times New Roman" w:eastAsia="仿宋_GB2312" w:cs="Times New Roman"/>
                <w:sz w:val="30"/>
                <w:szCs w:val="30"/>
              </w:rPr>
            </w:pPr>
            <w:r>
              <w:rPr>
                <w:rFonts w:hint="default" w:ascii="Times New Roman" w:hAnsi="Times New Roman" w:eastAsia="仿宋_GB2312" w:cs="Times New Roman"/>
                <w:sz w:val="30"/>
                <w:szCs w:val="30"/>
              </w:rPr>
              <w:t>13</w:t>
            </w:r>
          </w:p>
        </w:tc>
        <w:tc>
          <w:tcPr>
            <w:tcW w:w="1110" w:type="dxa"/>
            <w:vAlign w:val="center"/>
          </w:tcPr>
          <w:p>
            <w:pPr>
              <w:spacing w:line="400" w:lineRule="exact"/>
              <w:jc w:val="center"/>
              <w:rPr>
                <w:rFonts w:hint="default" w:ascii="Times New Roman" w:hAnsi="Times New Roman" w:eastAsia="仿宋_GB2312" w:cs="Times New Roman"/>
                <w:b/>
                <w:sz w:val="30"/>
                <w:szCs w:val="30"/>
              </w:rPr>
            </w:pPr>
            <w:r>
              <w:rPr>
                <w:rFonts w:hint="default" w:ascii="Times New Roman" w:hAnsi="Times New Roman" w:eastAsia="仿宋_GB2312" w:cs="Times New Roman"/>
                <w:bCs/>
                <w:spacing w:val="-11"/>
                <w:sz w:val="30"/>
                <w:szCs w:val="30"/>
              </w:rPr>
              <w:t>预期性</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default" w:ascii="Times New Roman" w:hAnsi="Times New Roman" w:eastAsia="黑体" w:cs="Times New Roman"/>
          <w:sz w:val="32"/>
          <w:szCs w:val="32"/>
        </w:rPr>
      </w:pPr>
      <w:bookmarkStart w:id="23" w:name="_Toc1592"/>
      <w:bookmarkStart w:id="24" w:name="_Toc14861"/>
      <w:r>
        <w:rPr>
          <w:rFonts w:hint="default" w:ascii="Times New Roman" w:hAnsi="Times New Roman" w:eastAsia="黑体" w:cs="Times New Roman"/>
          <w:sz w:val="32"/>
          <w:szCs w:val="32"/>
        </w:rPr>
        <w:t>三、重点任务</w:t>
      </w:r>
      <w:bookmarkEnd w:id="23"/>
      <w:bookmarkEnd w:id="24"/>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楷体_GB2312" w:cs="Times New Roman"/>
          <w:sz w:val="32"/>
          <w:szCs w:val="32"/>
        </w:rPr>
      </w:pPr>
      <w:bookmarkStart w:id="25" w:name="_Toc31076"/>
      <w:bookmarkStart w:id="26" w:name="_Toc614"/>
      <w:r>
        <w:rPr>
          <w:rFonts w:hint="default" w:ascii="Times New Roman" w:hAnsi="Times New Roman" w:eastAsia="楷体_GB2312" w:cs="Times New Roman"/>
          <w:sz w:val="32"/>
          <w:szCs w:val="32"/>
        </w:rPr>
        <w:t>（一）搭建创新载体平台</w:t>
      </w:r>
      <w:bookmarkEnd w:id="25"/>
      <w:bookmarkEnd w:id="26"/>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 w:val="0"/>
          <w:bCs w:val="0"/>
          <w:sz w:val="32"/>
          <w:szCs w:val="32"/>
        </w:rPr>
      </w:pPr>
      <w:bookmarkStart w:id="27" w:name="_Toc3312"/>
      <w:bookmarkStart w:id="28" w:name="_Toc30596"/>
      <w:r>
        <w:rPr>
          <w:rFonts w:hint="default" w:ascii="Times New Roman" w:hAnsi="Times New Roman" w:eastAsia="仿宋_GB2312" w:cs="Times New Roman"/>
          <w:b w:val="0"/>
          <w:bCs w:val="0"/>
          <w:sz w:val="32"/>
          <w:szCs w:val="32"/>
        </w:rPr>
        <w:t>1．推动建设创新创业载体。依托蓟州经济开发区，不断释放发展空间，提升综合承载能力，发展优势产业，打造创新型企业聚集区。推动新材料产业园、京津国泰智能主题园、京津州河产城融合创新区等载体建设，重点承接新一代信息技术、现代装备制造、新材料、生命健康等领域的北京科技型企业。完善创新创业孵化链条，打造众创空间、孵化器、大学生创新创业基地等孵化载体，孵化培育创新型企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2．推动建设科技创新平台</w:t>
      </w:r>
      <w:bookmarkEnd w:id="27"/>
      <w:bookmarkEnd w:id="28"/>
      <w:r>
        <w:rPr>
          <w:rFonts w:hint="default" w:ascii="Times New Roman" w:hAnsi="Times New Roman" w:eastAsia="仿宋_GB2312" w:cs="Times New Roman"/>
          <w:b w:val="0"/>
          <w:bCs w:val="0"/>
          <w:sz w:val="32"/>
          <w:szCs w:val="32"/>
        </w:rPr>
        <w:t>。鼓励企业与京津冀高等院校和科研院所共建联合实验室或研发中心，争创市级及以上企业重点实验室、企业技术中心等创新平台。围绕现代装备制造、新材料、绿色食品、新一代信息技术等重点产业，依托骨干企业，引导成立蓟州区重点产业技术创新联盟。发挥市场机制作用，推动创新项目、平台、人才、资金一体化配置，积极承接国家和天津市各类科技创新项目，提升自主创新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3．推动建设成果转化基地。聚焦蓟州资源禀赋和产业需求，对接争取北京科研机构、高等院校在蓟探索建设产业技术研究院等新型研发机构。推动北京科技成果孵化转化基地建设。落实科技成果转化奖励、税收优惠和尽职免责等科技成果转化政策，加大金融市场和金融产品对成果转化支持力度。发展技术转移机构，构建技术转移网络。建立企业技术需求库，促进企业与科技成果供需对接，推动技术要素市场化流动。 </w:t>
      </w:r>
    </w:p>
    <w:p>
      <w:pPr>
        <w:pStyle w:val="2"/>
        <w:rPr>
          <w:rFonts w:hint="default"/>
        </w:rPr>
      </w:pPr>
    </w:p>
    <w:p>
      <w:pPr>
        <w:spacing w:afterLines="50" w:line="560" w:lineRule="exact"/>
        <w:ind w:left="0" w:leftChars="0" w:right="0" w:rightChars="0" w:firstLine="0" w:firstLineChars="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专栏二：载体建设</w:t>
      </w: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48" w:type="dxa"/>
          </w:tcPr>
          <w:p>
            <w:pPr>
              <w:keepNext w:val="0"/>
              <w:keepLines w:val="0"/>
              <w:pageBreakBefore w:val="0"/>
              <w:widowControl w:val="0"/>
              <w:kinsoku/>
              <w:wordWrap/>
              <w:overflowPunct/>
              <w:topLinePunct w:val="0"/>
              <w:autoSpaceDE/>
              <w:autoSpaceDN/>
              <w:bidi w:val="0"/>
              <w:adjustRightInd w:val="0"/>
              <w:snapToGrid w:val="0"/>
              <w:spacing w:after="0" w:line="440" w:lineRule="exact"/>
              <w:ind w:firstLine="640" w:firstLineChars="200"/>
              <w:textAlignment w:val="auto"/>
              <w:rPr>
                <w:rFonts w:hint="default" w:ascii="Times New Roman" w:hAnsi="Times New Roman" w:eastAsia="仿宋_GB2312" w:cs="Times New Roman"/>
                <w:b w:val="0"/>
                <w:bCs w:val="0"/>
                <w:sz w:val="32"/>
                <w:szCs w:val="32"/>
              </w:rPr>
            </w:pPr>
            <w:r>
              <w:rPr>
                <w:rFonts w:hint="eastAsia" w:ascii="楷体_GB2312" w:hAnsi="楷体_GB2312" w:eastAsia="楷体_GB2312" w:cs="楷体_GB2312"/>
                <w:b w:val="0"/>
                <w:bCs w:val="0"/>
                <w:sz w:val="32"/>
                <w:szCs w:val="32"/>
              </w:rPr>
              <w:t>高质量发展蓟州经济开发区</w:t>
            </w:r>
            <w:r>
              <w:rPr>
                <w:rFonts w:hint="default" w:ascii="Times New Roman" w:hAnsi="Times New Roman" w:eastAsia="仿宋_GB2312" w:cs="Times New Roman"/>
                <w:b w:val="0"/>
                <w:bCs w:val="0"/>
                <w:sz w:val="32"/>
                <w:szCs w:val="32"/>
              </w:rPr>
              <w:t>。加快盘活闲置低效资源，不断释放发展空间，提升承载能力。坚持突出特色、高质高效、产城融合、创新发展，推动建设新材料产业园、京津国泰智能主题园、京津州河产城融合创新区、保税物流中心（B型）等功能组团。增强蓟州经济开发区承载功能，为打造面向京津科技孵化应用基地提供优良载体。</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4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2"/>
                <w:szCs w:val="32"/>
              </w:rPr>
              <w:t>建设新材料产业孵化基地</w:t>
            </w:r>
            <w:r>
              <w:rPr>
                <w:rFonts w:hint="default" w:ascii="Times New Roman" w:hAnsi="Times New Roman" w:eastAsia="仿宋_GB2312" w:cs="Times New Roman"/>
                <w:b w:val="0"/>
                <w:bCs w:val="0"/>
                <w:sz w:val="32"/>
                <w:szCs w:val="32"/>
              </w:rPr>
              <w:t>。立足磁性材料、焊接材料、防护复合材料生产制造基础，重点加强与中科院磁性材料重点实验室、中国电子材料行业协会等国家级研究机构紧密对接，建立国家级新材料实验室和科技成果转化基地，协同重点解决新材料关键共性技术，推动新材料科技成果在蓟州经济开发区孵化转化落地。积极承办具有国际影响力的新材料论坛，吸聚新材料科技创新要素向蓟州集聚。</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Cs/>
          <w:sz w:val="32"/>
          <w:szCs w:val="32"/>
        </w:rPr>
      </w:pPr>
      <w:r>
        <w:rPr>
          <w:rFonts w:hint="default" w:ascii="Times New Roman" w:hAnsi="Times New Roman" w:eastAsia="楷体_GB2312" w:cs="Times New Roman"/>
          <w:bCs/>
          <w:sz w:val="32"/>
          <w:szCs w:val="32"/>
        </w:rPr>
        <w:t>（二）支撑发展重点产业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1．做大做强主导产业。聚焦装备制造、新材料、绿色食品、新一代信息技术等主导产业，推进科技创新，赋能高质量发展。推进新兴技术和装备制造业深度融合，加快智能装备生产应用，推动现代装备制造业集群发展。立足新材料产业基础</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推动稀土永磁材料、高性能复合材料、先进高分子材料等新材料产业集群发展。依托绿色食品基地，建设绿色食品创新服务平台，引进培育龙头企业，打造绿色食品产业链。发展大数据、先进计算、先进通信、网络安全和信息服务等产业，推进新一代信息技术应用，打造一批高质量应用场景，</w:t>
      </w:r>
      <w:r>
        <w:rPr>
          <w:rFonts w:hint="eastAsia" w:ascii="Times New Roman" w:hAnsi="Times New Roman" w:eastAsia="仿宋_GB2312" w:cs="Times New Roman"/>
          <w:b w:val="0"/>
          <w:bCs/>
          <w:sz w:val="32"/>
          <w:szCs w:val="32"/>
          <w:lang w:eastAsia="zh-CN"/>
        </w:rPr>
        <w:t>提速</w:t>
      </w:r>
      <w:r>
        <w:rPr>
          <w:rFonts w:hint="default" w:ascii="Times New Roman" w:hAnsi="Times New Roman" w:eastAsia="仿宋_GB2312" w:cs="Times New Roman"/>
          <w:b w:val="0"/>
          <w:bCs/>
          <w:sz w:val="32"/>
          <w:szCs w:val="32"/>
        </w:rPr>
        <w:t>产业转型升级。</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2．优化提升传统产业。聚焦建材、包装印刷等优势传统产业，注入创新要素，助其转型升级。依托现有建材产业发展基础，加强与科研机构交流合作，向节能环保建材产业转型，推进建材产业数字化、绿色化制造，打造京津冀低碳城市建设建材保障基地、节能环保建材产业示范基地。推动传统包装印刷产业创新转型，研发高端包装制品，发展包装保质技术，推进智能化包装产品应用，培育地方包装技术品牌，建成京津冀纸制品与铁艺包装产业基地。</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 w:val="0"/>
          <w:bCs/>
          <w:sz w:val="32"/>
          <w:szCs w:val="32"/>
        </w:rPr>
      </w:pPr>
      <w:r>
        <w:rPr>
          <w:rFonts w:hint="default" w:ascii="Times New Roman" w:hAnsi="Times New Roman" w:eastAsia="仿宋_GB2312" w:cs="Times New Roman"/>
          <w:b w:val="0"/>
          <w:bCs/>
          <w:sz w:val="32"/>
          <w:szCs w:val="32"/>
        </w:rPr>
        <w:t>3．引育发展新兴产业。聚焦战略性新兴产业和大健康、现代服务业等</w:t>
      </w:r>
      <w:r>
        <w:rPr>
          <w:rFonts w:hint="eastAsia" w:ascii="Times New Roman" w:hAnsi="Times New Roman" w:eastAsia="仿宋_GB2312" w:cs="Times New Roman"/>
          <w:b w:val="0"/>
          <w:bCs/>
          <w:sz w:val="32"/>
          <w:szCs w:val="32"/>
          <w:lang w:val="en-US" w:eastAsia="zh-CN"/>
        </w:rPr>
        <w:t>产业</w:t>
      </w:r>
      <w:r>
        <w:rPr>
          <w:rFonts w:hint="default" w:ascii="Times New Roman" w:hAnsi="Times New Roman" w:eastAsia="仿宋_GB2312" w:cs="Times New Roman"/>
          <w:b w:val="0"/>
          <w:bCs/>
          <w:sz w:val="32"/>
          <w:szCs w:val="32"/>
        </w:rPr>
        <w:t>，培育发展新动能。依托京津冀科技研发优势，引进培育战略性新兴产业企业和项目，推动形成产业基础并向规模化发展。面向生命健康需求，紧盯京津冀千亿级康养市场，加快推进</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康养+</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大健康产业体系建设，打造蓟州</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康养</w:t>
      </w:r>
      <w:r>
        <w:rPr>
          <w:rFonts w:hint="eastAsia" w:ascii="Times New Roman" w:hAnsi="Times New Roman" w:eastAsia="仿宋_GB2312" w:cs="Times New Roman"/>
          <w:b w:val="0"/>
          <w:bCs/>
          <w:sz w:val="32"/>
          <w:szCs w:val="32"/>
          <w:lang w:eastAsia="zh-CN"/>
        </w:rPr>
        <w:t>”</w:t>
      </w:r>
      <w:r>
        <w:rPr>
          <w:rFonts w:hint="default" w:ascii="Times New Roman" w:hAnsi="Times New Roman" w:eastAsia="仿宋_GB2312" w:cs="Times New Roman"/>
          <w:b w:val="0"/>
          <w:bCs/>
          <w:sz w:val="32"/>
          <w:szCs w:val="32"/>
        </w:rPr>
        <w:t>品牌。推动现代服务业发展，培育壮大科技服务业，引育发展技术转移、科技咨询、科技金融、研发设计与检测认证等科技服务业企业和机构，增强向社会提供智力服务的供给能力。</w:t>
      </w:r>
    </w:p>
    <w:p>
      <w:pPr>
        <w:pStyle w:val="2"/>
        <w:rPr>
          <w:rFonts w:hint="default"/>
        </w:rPr>
      </w:pPr>
    </w:p>
    <w:p>
      <w:pPr>
        <w:spacing w:afterLines="50" w:line="560" w:lineRule="exact"/>
        <w:ind w:left="0" w:leftChars="0" w:right="0" w:rightChars="0" w:firstLine="0" w:firstLineChars="0"/>
        <w:jc w:val="center"/>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专栏三：产业发展</w:t>
      </w:r>
    </w:p>
    <w:tbl>
      <w:tblPr>
        <w:tblStyle w:val="6"/>
        <w:tblW w:w="90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8" w:hRule="atLeast"/>
        </w:trPr>
        <w:tc>
          <w:tcPr>
            <w:tcW w:w="9060" w:type="dxa"/>
          </w:tcPr>
          <w:p>
            <w:pPr>
              <w:keepNext w:val="0"/>
              <w:keepLines w:val="0"/>
              <w:pageBreakBefore w:val="0"/>
              <w:widowControl w:val="0"/>
              <w:kinsoku/>
              <w:wordWrap/>
              <w:overflowPunct/>
              <w:topLinePunct w:val="0"/>
              <w:autoSpaceDE/>
              <w:autoSpaceDN/>
              <w:bidi w:val="0"/>
              <w:adjustRightInd w:val="0"/>
              <w:snapToGrid w:val="0"/>
              <w:spacing w:after="0" w:line="440" w:lineRule="exact"/>
              <w:ind w:firstLine="640" w:firstLineChars="200"/>
              <w:textAlignment w:val="auto"/>
              <w:rPr>
                <w:rFonts w:hint="default" w:ascii="Times New Roman" w:hAnsi="Times New Roman" w:eastAsia="宋体" w:cs="Times New Roman"/>
                <w:b w:val="0"/>
                <w:bCs w:val="0"/>
                <w:color w:val="000000"/>
                <w:sz w:val="32"/>
                <w:szCs w:val="32"/>
              </w:rPr>
            </w:pPr>
            <w:r>
              <w:rPr>
                <w:rFonts w:hint="eastAsia" w:ascii="楷体_GB2312" w:hAnsi="楷体_GB2312" w:eastAsia="楷体_GB2312" w:cs="楷体_GB2312"/>
                <w:b w:val="0"/>
                <w:bCs w:val="0"/>
                <w:sz w:val="32"/>
                <w:szCs w:val="32"/>
              </w:rPr>
              <w:t>现代装备制造</w:t>
            </w:r>
            <w:r>
              <w:rPr>
                <w:rFonts w:hint="default" w:ascii="Times New Roman" w:hAnsi="Times New Roman" w:eastAsia="仿宋_GB2312" w:cs="Times New Roman"/>
                <w:b w:val="0"/>
                <w:bCs w:val="0"/>
                <w:sz w:val="32"/>
                <w:szCs w:val="32"/>
              </w:rPr>
              <w:t>。依托重点企业，通过科技创新，加大智能制造重点企业培育力度，推进智能装备研发和产业化，着力解决制约现代装备制造业技术瓶颈，推进电气装备、智能终端、工业机器人等现代装备制造企业集聚发展。</w:t>
            </w:r>
          </w:p>
          <w:p>
            <w:pPr>
              <w:keepNext w:val="0"/>
              <w:keepLines w:val="0"/>
              <w:pageBreakBefore w:val="0"/>
              <w:widowControl w:val="0"/>
              <w:kinsoku/>
              <w:wordWrap/>
              <w:overflowPunct/>
              <w:topLinePunct w:val="0"/>
              <w:autoSpaceDE/>
              <w:autoSpaceDN/>
              <w:bidi w:val="0"/>
              <w:spacing w:after="0" w:line="4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新材料</w:t>
            </w:r>
            <w:r>
              <w:rPr>
                <w:rFonts w:hint="default" w:ascii="Times New Roman" w:hAnsi="Times New Roman" w:eastAsia="仿宋_GB2312" w:cs="Times New Roman"/>
                <w:b w:val="0"/>
                <w:bCs w:val="0"/>
                <w:sz w:val="32"/>
                <w:szCs w:val="32"/>
              </w:rPr>
              <w:t>。依托重点企业，研发应用功能材料性能复合技术，轻量化、强韧化技术以及强度、韧性、耐腐蚀等性能协同提升技术，发展稀土永磁材料、高性能焊接材料、结构与复合材料、纳米涂层材料和自清洁、阻燃等智能材料产业集群。</w:t>
            </w:r>
          </w:p>
          <w:p>
            <w:pPr>
              <w:keepNext w:val="0"/>
              <w:keepLines w:val="0"/>
              <w:pageBreakBefore w:val="0"/>
              <w:widowControl w:val="0"/>
              <w:kinsoku/>
              <w:wordWrap/>
              <w:overflowPunct/>
              <w:topLinePunct w:val="0"/>
              <w:autoSpaceDE/>
              <w:autoSpaceDN/>
              <w:bidi w:val="0"/>
              <w:spacing w:after="0" w:line="44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楷体_GB2312" w:hAnsi="楷体_GB2312" w:eastAsia="楷体_GB2312" w:cs="楷体_GB2312"/>
                <w:b w:val="0"/>
                <w:bCs w:val="0"/>
                <w:sz w:val="32"/>
                <w:szCs w:val="32"/>
              </w:rPr>
              <w:t>绿色食品</w:t>
            </w:r>
            <w:r>
              <w:rPr>
                <w:rFonts w:hint="default" w:ascii="Times New Roman" w:hAnsi="Times New Roman" w:eastAsia="仿宋_GB2312" w:cs="Times New Roman"/>
                <w:b w:val="0"/>
                <w:bCs w:val="0"/>
                <w:sz w:val="32"/>
                <w:szCs w:val="32"/>
              </w:rPr>
              <w:t>。依托</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旅游+绿色食品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优势，重点发展农产品和食品精深加新工艺新技术、加工过程中营养成分监控技术、功能性食品加工技术、均衡营养与个性化营养新型食品加工、食品加工机械装备、贮藏保鲜及冷链物流等技术研发应用，培育地方特色品牌，建设</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互联网+</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绿色食品精深加工示范区，推进绿色食品产业向高端化发展。</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40" w:firstLineChars="200"/>
              <w:textAlignment w:val="auto"/>
              <w:rPr>
                <w:rFonts w:hint="default" w:ascii="Times New Roman" w:hAnsi="Times New Roman" w:eastAsia="仿宋_GB2312" w:cs="Times New Roman"/>
                <w:sz w:val="21"/>
                <w:szCs w:val="24"/>
              </w:rPr>
            </w:pPr>
            <w:r>
              <w:rPr>
                <w:rFonts w:hint="default" w:ascii="楷体_GB2312" w:hAnsi="楷体_GB2312" w:eastAsia="楷体_GB2312" w:cs="楷体_GB2312"/>
                <w:b w:val="0"/>
                <w:bCs w:val="0"/>
                <w:sz w:val="32"/>
                <w:szCs w:val="32"/>
              </w:rPr>
              <w:t>新一代信息技术。</w:t>
            </w:r>
            <w:r>
              <w:rPr>
                <w:rFonts w:hint="default" w:ascii="Times New Roman" w:hAnsi="Times New Roman" w:eastAsia="仿宋_GB2312" w:cs="Times New Roman"/>
                <w:b w:val="0"/>
                <w:bCs w:val="0"/>
                <w:sz w:val="32"/>
                <w:szCs w:val="32"/>
              </w:rPr>
              <w:t>培育发展数字经济，完善数字基础设施，推进蓟州大数据平台建设，打造蓟州城市产业云项目，加快建设数字蓟州。推进数字产业发展，扶持壮大数字化新兴企业，积极引进国内外软件企业落户蓟州，支持重点企业研发应用云计算技术。推动区块链、大数据、人工智能、物联网、5G技术与现代产业深度融合。推进蓟州经济开发区数字创意产业园建设，打造网络、存储、计算、系统等软硬件资源公共服务云平台，力争建设成为国家级综合智慧能源供应示范基地。</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（三）发展壮大创新主体</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 xml:space="preserve">1．强化企业创新主体地位。加快发展创新型企业，推动企业成为技术创新决策、研发投入、科研组织和成果转化的主体。引导创新要素向企业聚集，加强创新型企业群体培育，壮大新动能底盘。发挥企业家在技术创新中的重要作用，鼓励引导企业家参与科技决策、开展创新研究和承担科技任务。落实研发费用加计扣除等优惠政策，鼓励企业加大研发投入力度，推动企业提升自主创新能力。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2．实施高企倍增行动计划。按照</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保存量、促增量、育幼苗、引优苗、建生态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思路，落实遴选</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入库</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培育</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认定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四个一批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工作机制，坚持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引、育、创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结合，加快国家高新技术企业发展。</w:t>
      </w:r>
      <w:r>
        <w:rPr>
          <w:rFonts w:hint="eastAsia" w:ascii="Times New Roman" w:hAnsi="Times New Roman" w:eastAsia="仿宋_GB2312" w:cs="Times New Roman"/>
          <w:b w:val="0"/>
          <w:bCs w:val="0"/>
          <w:sz w:val="32"/>
          <w:szCs w:val="32"/>
          <w:lang w:val="en-US" w:eastAsia="zh-CN"/>
        </w:rPr>
        <w:t>抢抓</w:t>
      </w:r>
      <w:r>
        <w:rPr>
          <w:rFonts w:hint="default" w:ascii="Times New Roman" w:hAnsi="Times New Roman" w:eastAsia="仿宋_GB2312" w:cs="Times New Roman"/>
          <w:b w:val="0"/>
          <w:bCs w:val="0"/>
          <w:sz w:val="32"/>
          <w:szCs w:val="32"/>
        </w:rPr>
        <w:t>京津冀协同发展机遇，着力引进高技术产业项目，发展产业链带动创新链，遴选重点企业，整合创新资源，分类精准施策，激励创新创业，壮大创新型企业源头队伍，推动高企数量较快增长、质量明显提升。</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仿宋_GB2312" w:cs="Times New Roman"/>
          <w:b w:val="0"/>
          <w:bCs w:val="0"/>
          <w:sz w:val="32"/>
          <w:szCs w:val="32"/>
        </w:rPr>
        <w:t>3．推进科技企业梯度培育。完善</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雏鹰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瞪羚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领军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科技型企业梯度培育机制，加强高成长性企业培育，在应用场景、数据支持等方面分级分类精准帮扶，助推科技型企业梯次发展，壮大</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雏鹰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瞪羚</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企业规模，培育创新型领军企业。建立企业榜单定期发布机制，引导金融资本、社会资源支持企业发展。培育一批</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专精特新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单项冠军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隐形冠军</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企业，发挥其在核心技术攻关、承接重大创新项目等方面的重要作用。</w:t>
      </w:r>
    </w:p>
    <w:p>
      <w:pPr>
        <w:ind w:firstLine="642" w:firstLineChars="200"/>
        <w:outlineLvl w:val="3"/>
        <w:rPr>
          <w:rFonts w:hint="default" w:ascii="Times New Roman" w:hAnsi="Times New Roman" w:eastAsia="宋体" w:cs="Times New Roman"/>
          <w:b/>
          <w:bCs/>
          <w:sz w:val="32"/>
          <w:szCs w:val="32"/>
        </w:rPr>
      </w:pPr>
    </w:p>
    <w:p>
      <w:pPr>
        <w:ind w:left="0" w:leftChars="0" w:right="0" w:rightChars="0" w:firstLine="0" w:firstLineChars="0"/>
        <w:jc w:val="center"/>
        <w:outlineLvl w:val="3"/>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专栏四：企业创新</w:t>
      </w: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 w:hRule="atLeast"/>
        </w:trPr>
        <w:tc>
          <w:tcPr>
            <w:tcW w:w="8948" w:type="dxa"/>
          </w:tcPr>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color w:val="FF0000"/>
                <w:sz w:val="30"/>
                <w:szCs w:val="30"/>
              </w:rPr>
            </w:pPr>
            <w:r>
              <w:rPr>
                <w:rFonts w:hint="eastAsia" w:ascii="楷体_GB2312" w:hAnsi="楷体_GB2312" w:eastAsia="楷体_GB2312" w:cs="楷体_GB2312"/>
                <w:b w:val="0"/>
                <w:bCs w:val="0"/>
                <w:sz w:val="30"/>
                <w:szCs w:val="30"/>
              </w:rPr>
              <w:t>着力提升企业自主创新能力。</w:t>
            </w:r>
            <w:r>
              <w:rPr>
                <w:rFonts w:hint="default" w:ascii="Times New Roman" w:hAnsi="Times New Roman" w:eastAsia="仿宋_GB2312" w:cs="Times New Roman"/>
                <w:sz w:val="30"/>
                <w:szCs w:val="30"/>
              </w:rPr>
              <w:t>支持企业加大研发投入，开展科技创新，组织实施科技创新项目。围绕高端装备制造、新材料、生物医药、人工智能等重点产业，聚焦现代农业、现代制造业、生态治理等重点领域，组织实施科技创新项目，开发专精特新产品，打造一批技术研发、集成应用标志性成果。提升企业知识产权能力，推动有研发无专利的企业加快实现知识产权零的突破。鼓励支持企业与高等院校、科研机构开展产学研合作，助力企业创新发展。</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b w:val="0"/>
                <w:bCs w:val="0"/>
                <w:sz w:val="30"/>
                <w:szCs w:val="30"/>
              </w:rPr>
              <w:t>着力促进创新型企业高质量发展。</w:t>
            </w:r>
            <w:r>
              <w:rPr>
                <w:rFonts w:hint="default" w:ascii="Times New Roman" w:hAnsi="Times New Roman" w:eastAsia="仿宋_GB2312" w:cs="Times New Roman"/>
                <w:sz w:val="30"/>
                <w:szCs w:val="30"/>
              </w:rPr>
              <w:t>深入落实天津市新动能引育行动计划，推动创新型企业加快发展，壮大群体数量，提升发展质量。围绕国家重点支持的高新技术领域，坚持</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引育并重、量质并举</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引、育、创</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结合。加快招商</w:t>
            </w:r>
            <w:r>
              <w:rPr>
                <w:rFonts w:hint="eastAsia" w:ascii="Times New Roman" w:hAnsi="Times New Roman" w:eastAsia="仿宋_GB2312" w:cs="Times New Roman"/>
                <w:sz w:val="30"/>
                <w:szCs w:val="30"/>
                <w:lang w:val="en-US" w:eastAsia="zh-CN"/>
              </w:rPr>
              <w:t>引资</w:t>
            </w:r>
            <w:r>
              <w:rPr>
                <w:rFonts w:hint="default" w:ascii="Times New Roman" w:hAnsi="Times New Roman" w:eastAsia="仿宋_GB2312" w:cs="Times New Roman"/>
                <w:sz w:val="30"/>
                <w:szCs w:val="30"/>
              </w:rPr>
              <w:t>，紧紧抓住京津冀协同发展机遇，依托</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一核两带三片区</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的发展格局，瞄准智能制造、新材料、生物医药、教育科研、大数据等高技术产业，精准招商，发展产业链，带动创新链。加强梯度培育，每年遴选重点培育企业，整合科技资源和服务资源，实施精准帮扶，助推企业梯次壮大，激励创业创办，积极落实国家和市、区鼓励发展的政策措施，激励全社会创业创办科技型中小微企业，壮大创新型企业源头队伍。</w:t>
            </w:r>
            <w:r>
              <w:rPr>
                <w:rFonts w:hint="default" w:ascii="Times New Roman" w:hAnsi="Times New Roman" w:eastAsia="仿宋_GB2312" w:cs="Times New Roman"/>
                <w:bCs/>
                <w:color w:val="FF0000"/>
                <w:sz w:val="30"/>
                <w:szCs w:val="30"/>
              </w:rPr>
              <w:t xml:space="preserve"> </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（四）加快推进协同创新</w:t>
      </w:r>
      <w:bookmarkStart w:id="29" w:name="_Toc14589"/>
      <w:bookmarkStart w:id="30" w:name="_Toc908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1．积极融入京津冀协同发展。加强与北京科技创新策源地深度对接，建设面向京津冀科技孵化应用基地</w:t>
      </w:r>
      <w:bookmarkEnd w:id="29"/>
      <w:bookmarkEnd w:id="30"/>
      <w:r>
        <w:rPr>
          <w:rFonts w:hint="default" w:ascii="Times New Roman" w:hAnsi="Times New Roman" w:eastAsia="仿宋_GB2312" w:cs="Times New Roman"/>
          <w:b w:val="0"/>
          <w:bCs w:val="0"/>
          <w:sz w:val="32"/>
          <w:szCs w:val="32"/>
        </w:rPr>
        <w:t>。引入北京高端创新资源，共建产业技术创新联盟、产业技术创新平台和公共服务平台，推动重大科技创新成果在蓟州孵化转化应用。推动创新型领军企业优化整合创新资源，强化创新链产业链融合，共建创新型产业集群。促进科技创新资源共享，加强京津冀科技创新政策协同互动以及科技数据、科技人才、科技成果等信息资源共享互通。</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rPr>
      </w:pPr>
      <w:bookmarkStart w:id="31" w:name="_Toc16293"/>
      <w:bookmarkStart w:id="32" w:name="_Toc8868"/>
      <w:r>
        <w:rPr>
          <w:rFonts w:hint="default" w:ascii="Times New Roman" w:hAnsi="Times New Roman" w:eastAsia="仿宋_GB2312" w:cs="Times New Roman"/>
          <w:b w:val="0"/>
          <w:bCs w:val="0"/>
          <w:sz w:val="32"/>
          <w:szCs w:val="32"/>
        </w:rPr>
        <w:t>2．积极推进产学研</w:t>
      </w:r>
      <w:bookmarkEnd w:id="31"/>
      <w:bookmarkEnd w:id="32"/>
      <w:r>
        <w:rPr>
          <w:rFonts w:hint="default" w:ascii="Times New Roman" w:hAnsi="Times New Roman" w:eastAsia="仿宋_GB2312" w:cs="Times New Roman"/>
          <w:b w:val="0"/>
          <w:bCs w:val="0"/>
          <w:sz w:val="32"/>
          <w:szCs w:val="32"/>
        </w:rPr>
        <w:t>深度融合。强化企业主导的产学研协同创新，支持企业牵头组建创新联合体，加强与高等院校、科研院所对接，合作共建产业技术创新联盟、产学研合作基地、大学生创新创业示范基地等创新联合体。聚焦现代农业、高端装备制造、新材料、人工智能、生命健康等重点领域，支持企业与高校院所在技术研发、人才培养、项目培育、市场转化等方面推进协同创新，</w:t>
      </w:r>
      <w:bookmarkStart w:id="33" w:name="_Toc21874"/>
      <w:r>
        <w:rPr>
          <w:rFonts w:hint="default" w:ascii="Times New Roman" w:hAnsi="Times New Roman" w:eastAsia="仿宋_GB2312" w:cs="Times New Roman"/>
          <w:b w:val="0"/>
          <w:bCs w:val="0"/>
          <w:sz w:val="32"/>
          <w:szCs w:val="32"/>
        </w:rPr>
        <w:t>深入开展共性技术攻关和成果转移转化，提升企业科技创新能力。</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3．积极开展军民融合协同创新。</w:t>
      </w:r>
      <w:bookmarkEnd w:id="33"/>
      <w:r>
        <w:rPr>
          <w:rFonts w:hint="default" w:ascii="Times New Roman" w:hAnsi="Times New Roman" w:eastAsia="仿宋_GB2312" w:cs="Times New Roman"/>
          <w:b w:val="0"/>
          <w:bCs w:val="0"/>
          <w:sz w:val="32"/>
          <w:szCs w:val="32"/>
        </w:rPr>
        <w:t>建立军民融合发展对接机制，交流军民科技成果、技术信息、产品信息和应用需求，开展军民科技合作，推进科技军民融合发展。加强军用技术推广应用及产业化，推动产业结构优化升级，发展高端产业。支持企业应用军工技术，研发高端产品，惠及民计民生。加强驻蓟部队科技服务，从技术、项目、人才、信息等方面支持部队科技创新，为部队建设改革提供科技咨询，帮助部队普及科学知识，提</w:t>
      </w:r>
      <w:r>
        <w:rPr>
          <w:rFonts w:hint="eastAsia" w:ascii="Times New Roman" w:hAnsi="Times New Roman" w:eastAsia="仿宋_GB2312" w:cs="Times New Roman"/>
          <w:b w:val="0"/>
          <w:bCs w:val="0"/>
          <w:sz w:val="32"/>
          <w:szCs w:val="32"/>
          <w:lang w:val="en-US" w:eastAsia="zh-CN"/>
        </w:rPr>
        <w:t>高</w:t>
      </w:r>
      <w:r>
        <w:rPr>
          <w:rFonts w:hint="default" w:ascii="Times New Roman" w:hAnsi="Times New Roman" w:eastAsia="仿宋_GB2312" w:cs="Times New Roman"/>
          <w:b w:val="0"/>
          <w:bCs w:val="0"/>
          <w:sz w:val="32"/>
          <w:szCs w:val="32"/>
        </w:rPr>
        <w:t>官兵科学素养。</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（五）强化农业科技支撑</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rPr>
      </w:pPr>
      <w:bookmarkStart w:id="34" w:name="_Toc29750"/>
      <w:bookmarkStart w:id="35" w:name="_Toc16775"/>
      <w:r>
        <w:rPr>
          <w:rFonts w:hint="default" w:ascii="Times New Roman" w:hAnsi="Times New Roman" w:eastAsia="仿宋_GB2312" w:cs="Times New Roman"/>
          <w:b w:val="0"/>
          <w:bCs w:val="0"/>
          <w:sz w:val="32"/>
          <w:szCs w:val="32"/>
        </w:rPr>
        <w:t>1．引领现代都市农业</w:t>
      </w:r>
      <w:bookmarkEnd w:id="34"/>
      <w:bookmarkEnd w:id="35"/>
      <w:r>
        <w:rPr>
          <w:rFonts w:hint="default" w:ascii="Times New Roman" w:hAnsi="Times New Roman" w:eastAsia="仿宋_GB2312" w:cs="Times New Roman"/>
          <w:b w:val="0"/>
          <w:bCs w:val="0"/>
          <w:sz w:val="32"/>
          <w:szCs w:val="32"/>
        </w:rPr>
        <w:t>绿色发展。全面提升农业科技水平，建设形成覆盖粮食果蔬、畜禽水产等高效种植养殖领域的现代农业产业技术体系，为高品质建设京津城市服务保障基地、建设京津蔬菜谷物果品肉蛋</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一站式</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供应基地提供科技支撑。推进农业科技成果转化与推广，围绕持续增强农产品有效供给能力的重大科技需求，着力在壮大优势产业、发展特色农业等领域推广应用新品种、新技术，增强优质农产品供给功能。</w:t>
      </w:r>
      <w:bookmarkStart w:id="36" w:name="_Toc6937"/>
      <w:bookmarkStart w:id="37" w:name="_Toc22943"/>
      <w:r>
        <w:rPr>
          <w:rFonts w:hint="default" w:ascii="Times New Roman" w:hAnsi="Times New Roman" w:eastAsia="仿宋_GB2312" w:cs="Times New Roman"/>
          <w:b w:val="0"/>
          <w:bCs w:val="0"/>
          <w:sz w:val="32"/>
          <w:szCs w:val="32"/>
        </w:rPr>
        <w:t xml:space="preserve">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2．推进农业重点领域科技创新。聚焦现代种业，</w:t>
      </w:r>
      <w:bookmarkEnd w:id="36"/>
      <w:bookmarkEnd w:id="37"/>
      <w:r>
        <w:rPr>
          <w:rFonts w:hint="default" w:ascii="Times New Roman" w:hAnsi="Times New Roman" w:eastAsia="仿宋_GB2312" w:cs="Times New Roman"/>
          <w:b w:val="0"/>
          <w:bCs w:val="0"/>
          <w:sz w:val="32"/>
          <w:szCs w:val="32"/>
        </w:rPr>
        <w:t>加强农业种质资源保护开发利用，选育具有自主知识产权的优良品种，培育具有核心竞争力的现代种业企业，提高优良品种覆盖率和普及率。聚焦智慧农业，重点发展农业智能化生产、智能农机装备等技术，提高农业智能化水平。聚焦生态农业，重点发展农业节水、面源污染治理、农业秸秆综合处理等关键技术研究和示范应用，推动绿色节水节能生态农业发展。聚焦食品安全，重点发展食品安全监测与控制技术、农产品质量安全信息可追溯技术等，推动食品安全技术集成应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rPr>
      </w:pPr>
      <w:bookmarkStart w:id="38" w:name="_Toc27246"/>
      <w:bookmarkStart w:id="39" w:name="_Toc5594"/>
      <w:r>
        <w:rPr>
          <w:rFonts w:hint="default" w:ascii="Times New Roman" w:hAnsi="Times New Roman" w:eastAsia="仿宋_GB2312" w:cs="Times New Roman"/>
          <w:b w:val="0"/>
          <w:bCs w:val="0"/>
          <w:sz w:val="32"/>
          <w:szCs w:val="32"/>
        </w:rPr>
        <w:t>3．完善农业科技社会化服务体系</w:t>
      </w:r>
      <w:bookmarkEnd w:id="38"/>
      <w:bookmarkEnd w:id="39"/>
      <w:r>
        <w:rPr>
          <w:rFonts w:hint="default" w:ascii="Times New Roman" w:hAnsi="Times New Roman" w:eastAsia="仿宋_GB2312" w:cs="Times New Roman"/>
          <w:b w:val="0"/>
          <w:bCs w:val="0"/>
          <w:sz w:val="32"/>
          <w:szCs w:val="32"/>
        </w:rPr>
        <w:t>。紧紧围绕现代都市型农业绿色发展和实施乡村振兴战略的重大科技需求，构建和完善农业社会化服务体系，为有效推动农业产业升级和结构调整提供科技支撑。深入推行科技特派员制度，打通农业科技进村入户通道，示范带动农业科技发展。提升农业科技园区示范带动效应，加快星创天地、农业科技创新示范基地等双创平台建设，培育农业高新技术企业，着力推动集成示范应用。</w:t>
      </w:r>
    </w:p>
    <w:p>
      <w:pPr>
        <w:pStyle w:val="2"/>
        <w:rPr>
          <w:rFonts w:hint="default"/>
        </w:rPr>
      </w:pPr>
    </w:p>
    <w:p>
      <w:pPr>
        <w:ind w:left="0" w:leftChars="0" w:right="0" w:rightChars="0" w:firstLine="0" w:firstLineChars="0"/>
        <w:jc w:val="center"/>
        <w:outlineLvl w:val="3"/>
        <w:rPr>
          <w:rFonts w:hint="default" w:ascii="仿宋_GB2312" w:hAnsi="仿宋_GB2312" w:eastAsia="仿宋_GB2312" w:cs="仿宋_GB2312"/>
          <w:b/>
          <w:bCs/>
          <w:sz w:val="30"/>
          <w:szCs w:val="30"/>
        </w:rPr>
      </w:pPr>
      <w:r>
        <w:rPr>
          <w:rFonts w:hint="default" w:ascii="仿宋_GB2312" w:hAnsi="仿宋_GB2312" w:eastAsia="仿宋_GB2312" w:cs="仿宋_GB2312"/>
          <w:b/>
          <w:bCs/>
          <w:sz w:val="30"/>
          <w:szCs w:val="30"/>
        </w:rPr>
        <w:t>专栏五：农业科技</w:t>
      </w: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0"/>
                <w:szCs w:val="30"/>
              </w:rPr>
            </w:pPr>
            <w:r>
              <w:rPr>
                <w:rFonts w:hint="eastAsia" w:ascii="楷体_GB2312" w:hAnsi="楷体_GB2312" w:eastAsia="楷体_GB2312" w:cs="楷体_GB2312"/>
                <w:sz w:val="30"/>
                <w:szCs w:val="30"/>
              </w:rPr>
              <w:t>建设农技试验应用基地</w:t>
            </w:r>
            <w:r>
              <w:rPr>
                <w:rFonts w:hint="eastAsia" w:ascii="Times New Roman" w:hAnsi="Times New Roman" w:eastAsia="仿宋_GB2312" w:cs="Times New Roman"/>
                <w:sz w:val="30"/>
                <w:szCs w:val="30"/>
              </w:rPr>
              <w:t>。</w:t>
            </w:r>
            <w:r>
              <w:rPr>
                <w:rFonts w:hint="default" w:ascii="Times New Roman" w:hAnsi="Times New Roman" w:eastAsia="仿宋_GB2312" w:cs="Times New Roman"/>
                <w:sz w:val="30"/>
                <w:szCs w:val="30"/>
              </w:rPr>
              <w:t>发挥紧邻京津区位优势和蓟州生态农业优势，紧密对接中国农业科学院、中国农业大学等农业科技机构，鼓励在蓟州建立分支机构、试验基地和成果规模化运用基地，重点推进生物育种、病虫害防治、生态农业、智能农机、农产品加工等农技试验应用，大力提升农业科技水平，建设现代科技农业示范基地。</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0"/>
                <w:szCs w:val="30"/>
              </w:rPr>
            </w:pPr>
            <w:r>
              <w:rPr>
                <w:rFonts w:hint="default" w:ascii="楷体_GB2312" w:hAnsi="楷体_GB2312" w:eastAsia="楷体_GB2312" w:cs="楷体_GB2312"/>
                <w:sz w:val="30"/>
                <w:szCs w:val="30"/>
              </w:rPr>
              <w:t>实施现代种业提升工程</w:t>
            </w:r>
            <w:r>
              <w:rPr>
                <w:rFonts w:hint="default" w:ascii="Times New Roman" w:hAnsi="Times New Roman" w:eastAsia="仿宋_GB2312" w:cs="Times New Roman"/>
                <w:sz w:val="30"/>
                <w:szCs w:val="30"/>
              </w:rPr>
              <w:t>。加大对育种基础性研究项目的支持，坚持自主研发与引进示范推广相结合，引进培育一批优质、高产、抗逆农业新品种，建立标准化种子种苗繁育基地，形成</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引、育、繁、推</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一体化的良种繁育体系，打造京津冀小麦良种繁育中心。加强特色农产品品种繁育推广，培育西瓜、西红柿、辣椒新品种</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育繁推</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一体化现代种业企业，繁育放流地理标志品种</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州河鲤</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水花，推广优质强筋麦品种。</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0"/>
                <w:szCs w:val="30"/>
              </w:rPr>
              <w:t>实施智慧农业示范工程</w:t>
            </w:r>
            <w:r>
              <w:rPr>
                <w:rFonts w:hint="default" w:ascii="Times New Roman" w:hAnsi="Times New Roman" w:eastAsia="仿宋_GB2312" w:cs="Times New Roman"/>
                <w:sz w:val="30"/>
                <w:szCs w:val="30"/>
              </w:rPr>
              <w:t>。加快农业与5G、物联网、大数据、人工智能等新一代信息技术产业融合，重点发展农业生产经营管理、农产品质量安全与流通监测、农业信息综合服务三大领域的智慧应用，实现农业设施装备智能化、生产过程控制精准化、农业资源管理数字化、农业信息服务网络化。打造智慧农业示范基地，培育若干智慧农业品牌。探索</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物联网+农业</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信息网+农业</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电商网+农业</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的</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三网联动</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模式，培育新业态。</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（六）科技</w:t>
      </w:r>
      <w:r>
        <w:rPr>
          <w:rFonts w:hint="eastAsia" w:ascii="Times New Roman" w:hAnsi="Times New Roman" w:eastAsia="楷体_GB2312" w:cs="Times New Roman"/>
          <w:sz w:val="32"/>
          <w:szCs w:val="32"/>
          <w:lang w:eastAsia="zh-CN"/>
        </w:rPr>
        <w:t>服务</w:t>
      </w:r>
      <w:r>
        <w:rPr>
          <w:rFonts w:hint="default" w:ascii="Times New Roman" w:hAnsi="Times New Roman" w:eastAsia="楷体_GB2312" w:cs="Times New Roman"/>
          <w:sz w:val="32"/>
          <w:szCs w:val="32"/>
        </w:rPr>
        <w:t>民计民生</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 w:val="0"/>
          <w:bCs w:val="0"/>
          <w:color w:val="auto"/>
          <w:sz w:val="32"/>
          <w:szCs w:val="32"/>
        </w:rPr>
      </w:pPr>
      <w:bookmarkStart w:id="40" w:name="_Toc11500"/>
      <w:bookmarkStart w:id="41" w:name="_Toc22713"/>
      <w:bookmarkStart w:id="42" w:name="_Toc30590"/>
      <w:r>
        <w:rPr>
          <w:rFonts w:hint="default" w:ascii="Times New Roman" w:hAnsi="Times New Roman" w:eastAsia="仿宋_GB2312" w:cs="Times New Roman"/>
          <w:b w:val="0"/>
          <w:bCs w:val="0"/>
          <w:sz w:val="32"/>
          <w:szCs w:val="32"/>
        </w:rPr>
        <w:t>1．推进民生领域科技创新。聚焦民生技术创新及集成应用，</w:t>
      </w:r>
      <w:bookmarkStart w:id="43" w:name="_Toc30359"/>
      <w:bookmarkStart w:id="44" w:name="_Toc20914"/>
      <w:r>
        <w:rPr>
          <w:rFonts w:hint="default" w:ascii="Times New Roman" w:hAnsi="Times New Roman" w:eastAsia="仿宋_GB2312" w:cs="Times New Roman"/>
          <w:b w:val="0"/>
          <w:bCs w:val="0"/>
          <w:sz w:val="32"/>
          <w:szCs w:val="32"/>
        </w:rPr>
        <w:t>实施项目带动，突出示范引领，促进科技创新成果惠及民生。围绕绿色节能、智慧城市、社会治理、安全生产等重点专项和重要民生领域，实施科技创新项目，研发转化先进适用技术。重点</w:t>
      </w:r>
      <w:bookmarkEnd w:id="43"/>
      <w:bookmarkEnd w:id="44"/>
      <w:r>
        <w:rPr>
          <w:rFonts w:hint="default" w:ascii="Times New Roman" w:hAnsi="Times New Roman" w:eastAsia="仿宋_GB2312" w:cs="Times New Roman"/>
          <w:b w:val="0"/>
          <w:bCs w:val="0"/>
          <w:sz w:val="32"/>
          <w:szCs w:val="32"/>
        </w:rPr>
        <w:t>加强人工智能</w:t>
      </w:r>
      <w:r>
        <w:rPr>
          <w:rFonts w:hint="default" w:ascii="Times New Roman" w:hAnsi="Times New Roman" w:eastAsia="仿宋_GB2312" w:cs="Times New Roman"/>
          <w:b w:val="0"/>
          <w:bCs w:val="0"/>
          <w:color w:val="auto"/>
          <w:sz w:val="32"/>
          <w:szCs w:val="32"/>
        </w:rPr>
        <w:t>、大数据等技术成果在重点领域示范推广，拓展融合应用场景，推进智能制造、智能交通与物流、智能医疗与健康、智能农业、智能旅游等建设。</w:t>
      </w:r>
      <w:bookmarkEnd w:id="40"/>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 w:val="0"/>
          <w:bCs w:val="0"/>
          <w:sz w:val="32"/>
          <w:szCs w:val="32"/>
        </w:rPr>
      </w:pPr>
      <w:bookmarkStart w:id="45" w:name="_Toc5132"/>
      <w:r>
        <w:rPr>
          <w:rFonts w:hint="default" w:ascii="Times New Roman" w:hAnsi="Times New Roman" w:eastAsia="仿宋_GB2312" w:cs="Times New Roman"/>
          <w:b w:val="0"/>
          <w:bCs w:val="0"/>
          <w:sz w:val="32"/>
          <w:szCs w:val="32"/>
        </w:rPr>
        <w:t>2</w:t>
      </w:r>
      <w:bookmarkEnd w:id="45"/>
      <w:r>
        <w:rPr>
          <w:rFonts w:hint="default" w:ascii="Times New Roman" w:hAnsi="Times New Roman" w:eastAsia="仿宋_GB2312" w:cs="Times New Roman"/>
          <w:b w:val="0"/>
          <w:bCs w:val="0"/>
          <w:sz w:val="32"/>
          <w:szCs w:val="32"/>
        </w:rPr>
        <w:t>．推进生态环境有效治理。坚持</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绿水青山就是金山银山</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理念，面向绿色发展和美丽蓟州建设、打造宜居的山水文化名城的基本需求，聚焦大气污染防治、水污染防治、土壤污染防治及修复、固体废物治理与资源化、重要生态系统保护和修复等领域，加强全过程污染防治技术体系建设，推动科技赋能储备林基地建设、于桥水库保护、面源污染整治、矿山修复等工程项目，守土、护水、净气、增绿，为持续改善生态环境质量提供科技支撑，为实现</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碳达峰碳中和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目标做出积极贡献。</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2"/>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3．推进健康蓟州建设。以全面提高全民健康水平为目标，为着力构建健康社会贡献科技力量。深度对接京津冀优质医疗资源，实施</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引才、引技、引智</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工程，提升医疗服务水平。推进中医药传承创新发展，健全中医服务体系，推广中医技术应用。聚焦重大疾病、慢性病和传染病防治，重点发展检测监测、防治技术创新和应用。聚焦健康与智慧医疗，重点发展智能化中医诊疗设备、检验医学和影像医学技术应用，移动医疗、远程医疗及个性化健康管理相关产品及服务，推动康复治疗、评定、预防医学技术和产品开发应用。</w:t>
      </w:r>
    </w:p>
    <w:p>
      <w:pPr>
        <w:pStyle w:val="2"/>
        <w:rPr>
          <w:rFonts w:hint="default" w:ascii="Times New Roman" w:hAnsi="Times New Roman" w:eastAsia="仿宋_GB2312" w:cs="Times New Roman"/>
          <w:b w:val="0"/>
          <w:bCs w:val="0"/>
          <w:sz w:val="32"/>
          <w:szCs w:val="32"/>
        </w:rPr>
      </w:pPr>
    </w:p>
    <w:p>
      <w:pPr>
        <w:pStyle w:val="2"/>
        <w:rPr>
          <w:rFonts w:hint="default" w:ascii="Times New Roman" w:hAnsi="Times New Roman" w:eastAsia="仿宋_GB2312" w:cs="Times New Roman"/>
          <w:b w:val="0"/>
          <w:bCs w:val="0"/>
          <w:sz w:val="32"/>
          <w:szCs w:val="32"/>
        </w:rPr>
      </w:pPr>
    </w:p>
    <w:p>
      <w:pPr>
        <w:ind w:left="0" w:leftChars="0" w:right="0" w:rightChars="0" w:firstLine="0" w:firstLineChars="0"/>
        <w:jc w:val="center"/>
        <w:outlineLvl w:val="3"/>
        <w:rPr>
          <w:rFonts w:hint="eastAsia" w:ascii="仿宋_GB2312" w:hAnsi="仿宋_GB2312" w:eastAsia="仿宋_GB2312" w:cs="仿宋_GB2312"/>
          <w:b/>
          <w:bCs/>
          <w:sz w:val="30"/>
          <w:szCs w:val="30"/>
        </w:rPr>
      </w:pPr>
      <w:r>
        <w:rPr>
          <w:rFonts w:hint="eastAsia" w:ascii="仿宋_GB2312" w:hAnsi="仿宋_GB2312" w:eastAsia="仿宋_GB2312" w:cs="仿宋_GB2312"/>
          <w:b/>
          <w:bCs/>
          <w:sz w:val="30"/>
          <w:szCs w:val="30"/>
        </w:rPr>
        <w:t>专栏六：民生科技</w:t>
      </w: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0"/>
                <w:szCs w:val="30"/>
              </w:rPr>
            </w:pPr>
            <w:r>
              <w:rPr>
                <w:rFonts w:hint="eastAsia" w:ascii="楷体_GB2312" w:hAnsi="楷体_GB2312" w:eastAsia="楷体_GB2312" w:cs="楷体_GB2312"/>
                <w:sz w:val="30"/>
                <w:szCs w:val="30"/>
              </w:rPr>
              <w:t>持续实施科技惠民示范工程</w:t>
            </w:r>
            <w:r>
              <w:rPr>
                <w:rFonts w:hint="default" w:ascii="Times New Roman" w:hAnsi="Times New Roman" w:eastAsia="仿宋_GB2312" w:cs="Times New Roman"/>
                <w:sz w:val="30"/>
                <w:szCs w:val="30"/>
              </w:rPr>
              <w:t>。围绕生态环境建设、低碳绿色生活、城市宜居便民、美丽乡村建设、农产品安全生产等民生领域，组织实施科技创新示范项目，推进先进适用技术转化应用，促进生态环境保护、水资源保护、资源再生利用和节能减排降耗，实现绿色节能、资源节约，为加速智慧城市建设、提升城市设施服务水平和美丽乡村建设、保障食品安全提供科技支撑。</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0"/>
                <w:szCs w:val="30"/>
              </w:rPr>
            </w:pPr>
            <w:r>
              <w:rPr>
                <w:rFonts w:hint="default" w:ascii="楷体_GB2312" w:hAnsi="楷体_GB2312" w:eastAsia="楷体_GB2312" w:cs="楷体_GB2312"/>
                <w:sz w:val="30"/>
                <w:szCs w:val="30"/>
              </w:rPr>
              <w:t>建设生态治理技术创新基地</w:t>
            </w:r>
            <w:r>
              <w:rPr>
                <w:rFonts w:hint="default" w:ascii="Times New Roman" w:hAnsi="Times New Roman" w:eastAsia="仿宋_GB2312" w:cs="Times New Roman"/>
                <w:sz w:val="30"/>
                <w:szCs w:val="30"/>
              </w:rPr>
              <w:t>。统筹国家生态文明建设示范区战略需要和山水林田湖草系统治理现实需求，依托于桥水库治理、州河国家湿地公园和环秀湖国家湿地公园建设、伊甸园矿坑治理修复等重大项目，引入央企国企和国际知名机构，创新水源涵养与保护、生态湿地治理、矿坑矿山修复等生态技术，探索建立一批生态修复治理国家级技术标准和规范，打造生态治理新技术新标准输出地。</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0"/>
                <w:szCs w:val="30"/>
              </w:rPr>
              <w:t>推进重点领域数字技术应用</w:t>
            </w:r>
            <w:r>
              <w:rPr>
                <w:rFonts w:hint="default" w:ascii="Times New Roman" w:hAnsi="Times New Roman" w:eastAsia="仿宋_GB2312" w:cs="Times New Roman"/>
                <w:sz w:val="30"/>
                <w:szCs w:val="30"/>
              </w:rPr>
              <w:t>。加快推进制造、物流、交通、旅游等行业数字化、网络化、智能化发展。重点围绕智能医疗与健康，推进数字健康共同体建设，打造</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互联网+医疗健康</w:t>
            </w:r>
            <w:r>
              <w:rPr>
                <w:rFonts w:hint="eastAsia" w:ascii="Times New Roman" w:hAnsi="Times New Roman" w:eastAsia="仿宋_GB2312" w:cs="Times New Roman"/>
                <w:sz w:val="30"/>
                <w:szCs w:val="30"/>
                <w:lang w:eastAsia="zh-CN"/>
              </w:rPr>
              <w:t>”</w:t>
            </w:r>
            <w:r>
              <w:rPr>
                <w:rFonts w:hint="default" w:ascii="Times New Roman" w:hAnsi="Times New Roman" w:eastAsia="仿宋_GB2312" w:cs="Times New Roman"/>
                <w:sz w:val="30"/>
                <w:szCs w:val="30"/>
              </w:rPr>
              <w:t>服务便民惠民综合服务平台，完善互联网医院建设，提升远程会诊、远程诊断系统技术水平，实现智能医疗。</w:t>
            </w:r>
          </w:p>
        </w:tc>
      </w:tr>
      <w:bookmarkEnd w:id="41"/>
      <w:bookmarkEnd w:id="42"/>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楷体_GB2312" w:cs="Times New Roman"/>
          <w:sz w:val="32"/>
          <w:szCs w:val="32"/>
        </w:rPr>
      </w:pPr>
      <w:r>
        <w:rPr>
          <w:rFonts w:hint="default" w:ascii="Times New Roman" w:hAnsi="Times New Roman" w:eastAsia="楷体_GB2312" w:cs="Times New Roman"/>
          <w:sz w:val="32"/>
          <w:szCs w:val="32"/>
        </w:rPr>
        <w:t xml:space="preserve">（七）创新人才引育机制 </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hint="default" w:ascii="Times New Roman" w:hAnsi="Times New Roman" w:eastAsia="仿宋_GB2312" w:cs="Times New Roman"/>
          <w:b w:val="0"/>
          <w:bCs w:val="0"/>
          <w:kern w:val="2"/>
          <w:sz w:val="32"/>
          <w:szCs w:val="32"/>
          <w:lang w:val="en-US" w:eastAsia="zh-CN" w:bidi="ar-SA"/>
        </w:rPr>
      </w:pPr>
      <w:bookmarkStart w:id="46" w:name="_Toc5581"/>
      <w:r>
        <w:rPr>
          <w:rFonts w:hint="default" w:ascii="Times New Roman" w:hAnsi="Times New Roman" w:eastAsia="仿宋_GB2312" w:cs="Times New Roman"/>
          <w:b w:val="0"/>
          <w:bCs w:val="0"/>
          <w:kern w:val="2"/>
          <w:sz w:val="32"/>
          <w:szCs w:val="32"/>
          <w:lang w:val="en-US" w:eastAsia="zh-CN" w:bidi="ar-SA"/>
        </w:rPr>
        <w:t>1．加快创新人才引育。大力推行人才强区战略，统筹实施高质量人才工程，</w:t>
      </w:r>
      <w:r>
        <w:rPr>
          <w:rFonts w:hint="eastAsia" w:ascii="Times New Roman" w:hAnsi="Times New Roman" w:eastAsia="仿宋_GB2312" w:cs="Times New Roman"/>
          <w:b w:val="0"/>
          <w:bCs w:val="0"/>
          <w:kern w:val="2"/>
          <w:sz w:val="32"/>
          <w:szCs w:val="32"/>
          <w:lang w:val="en-US" w:eastAsia="zh-CN" w:bidi="ar-SA"/>
        </w:rPr>
        <w:t>加快</w:t>
      </w:r>
      <w:r>
        <w:rPr>
          <w:rFonts w:hint="default" w:ascii="Times New Roman" w:hAnsi="Times New Roman" w:eastAsia="仿宋_GB2312" w:cs="Times New Roman"/>
          <w:b w:val="0"/>
          <w:bCs w:val="0"/>
          <w:kern w:val="2"/>
          <w:sz w:val="32"/>
          <w:szCs w:val="32"/>
          <w:lang w:val="en-US" w:eastAsia="zh-CN" w:bidi="ar-SA"/>
        </w:rPr>
        <w:t>创新人才</w:t>
      </w:r>
      <w:r>
        <w:rPr>
          <w:rFonts w:hint="eastAsia" w:ascii="Times New Roman" w:hAnsi="Times New Roman" w:eastAsia="仿宋_GB2312" w:cs="Times New Roman"/>
          <w:b w:val="0"/>
          <w:bCs w:val="0"/>
          <w:kern w:val="2"/>
          <w:sz w:val="32"/>
          <w:szCs w:val="32"/>
          <w:lang w:val="en-US" w:eastAsia="zh-CN" w:bidi="ar-SA"/>
        </w:rPr>
        <w:t>集聚</w:t>
      </w:r>
      <w:r>
        <w:rPr>
          <w:rFonts w:hint="default" w:ascii="Times New Roman" w:hAnsi="Times New Roman" w:eastAsia="仿宋_GB2312" w:cs="Times New Roman"/>
          <w:b w:val="0"/>
          <w:bCs w:val="0"/>
          <w:kern w:val="2"/>
          <w:sz w:val="32"/>
          <w:szCs w:val="32"/>
          <w:lang w:val="en-US" w:eastAsia="zh-CN" w:bidi="ar-SA"/>
        </w:rPr>
        <w:t>。坚持长期聘用和柔性引进相结合，围绕高端紧缺人才目录和科技创新人才图谱，聚集高端创新人才和团队。深入实施</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海河英才</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行动计划升级版，畅通青年和紧缺人才落户通道，吸引人才创新创业。加强各层次人才培养，加快优秀青年科技人才、产业领军人才、高技能人才、优秀企业家等各类人才队伍建设。</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outlineLvl w:val="2"/>
        <w:rPr>
          <w:rFonts w:hint="default" w:ascii="Times New Roman" w:hAnsi="Times New Roman" w:eastAsia="仿宋_GB2312" w:cs="Times New Roman"/>
          <w:b w:val="0"/>
          <w:bCs w:val="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充分激发人才活力。创新人才评价方式，健全以创新能力、质量、绩效、贡献为导向的人才评价体系，形成并实施有利于科技人员潜心研究和创新的评价制度。深化职称制度改革，赋予用人单位、行业组织人才评价主体地位。健全创新激励和保障机制，构建充分体现知识、技术等创新要素价值的收益分配机制，完善科研人员职务发明成果权益分享机制。支持科研人员离岗创业，促进科技人才双向流动，充分挖掘人才效用。</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仿宋_GB2312" w:cs="Times New Roman"/>
          <w:b w:val="0"/>
          <w:bCs w:val="0"/>
          <w:sz w:val="32"/>
          <w:szCs w:val="32"/>
        </w:rPr>
      </w:pPr>
      <w:r>
        <w:rPr>
          <w:rFonts w:hint="default" w:ascii="Times New Roman" w:hAnsi="Times New Roman" w:eastAsia="仿宋_GB2312" w:cs="Times New Roman"/>
          <w:b w:val="0"/>
          <w:bCs w:val="0"/>
          <w:sz w:val="32"/>
          <w:szCs w:val="32"/>
        </w:rPr>
        <w:t>3．持续优化人才环境。建立完善鼓励引才育才、支持创新创业的政策支撑体系。</w:t>
      </w:r>
      <w:bookmarkEnd w:id="46"/>
      <w:r>
        <w:rPr>
          <w:rFonts w:hint="default" w:ascii="Times New Roman" w:hAnsi="Times New Roman" w:eastAsia="仿宋_GB2312" w:cs="Times New Roman"/>
          <w:b w:val="0"/>
          <w:bCs w:val="0"/>
          <w:sz w:val="32"/>
          <w:szCs w:val="32"/>
        </w:rPr>
        <w:t>支持人才团队携带项目</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带土移植</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，推行</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项目+团队</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服务模式，为人才团队提供个性化服务。发挥市场在人力资源配置中的基础性作用，加快培育人才资源服务龙头企业，为用人单位和人才提供定制化服务。实施人才安居工程，围绕子女教育、家属就业、医疗保障、科研创业，提供全链条、全要素、全周期支持，打造更有温度</w:t>
      </w:r>
      <w:r>
        <w:rPr>
          <w:rFonts w:hint="eastAsia" w:ascii="Times New Roman" w:hAnsi="Times New Roman" w:eastAsia="仿宋_GB2312" w:cs="Times New Roman"/>
          <w:b w:val="0"/>
          <w:bCs w:val="0"/>
          <w:sz w:val="32"/>
          <w:szCs w:val="32"/>
          <w:lang w:val="en-US" w:eastAsia="zh-CN"/>
        </w:rPr>
        <w:t>的</w:t>
      </w:r>
      <w:r>
        <w:rPr>
          <w:rFonts w:hint="default" w:ascii="Times New Roman" w:hAnsi="Times New Roman" w:eastAsia="仿宋_GB2312" w:cs="Times New Roman"/>
          <w:b w:val="0"/>
          <w:bCs w:val="0"/>
          <w:sz w:val="32"/>
          <w:szCs w:val="32"/>
        </w:rPr>
        <w:t>人才服务环境。</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rPr>
          <w:rFonts w:hint="default" w:ascii="Times New Roman" w:hAnsi="Times New Roman" w:eastAsia="楷体_GB2312" w:cs="Times New Roman"/>
          <w:b w:val="0"/>
          <w:bCs w:val="0"/>
          <w:sz w:val="32"/>
          <w:szCs w:val="32"/>
        </w:rPr>
      </w:pPr>
      <w:r>
        <w:rPr>
          <w:rFonts w:hint="default" w:ascii="Times New Roman" w:hAnsi="Times New Roman" w:eastAsia="楷体_GB2312" w:cs="Times New Roman"/>
          <w:b w:val="0"/>
          <w:bCs w:val="0"/>
          <w:sz w:val="32"/>
          <w:szCs w:val="32"/>
        </w:rPr>
        <w:t>（八）营造优良创新生态</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outlineLvl w:val="2"/>
        <w:rPr>
          <w:rFonts w:hint="default" w:ascii="Times New Roman" w:hAnsi="Times New Roman" w:eastAsia="仿宋_GB2312" w:cs="Times New Roman"/>
          <w:b w:val="0"/>
          <w:bCs w:val="0"/>
          <w:kern w:val="2"/>
          <w:sz w:val="32"/>
          <w:szCs w:val="32"/>
          <w:lang w:val="en-US" w:eastAsia="zh-CN" w:bidi="ar-SA"/>
        </w:rPr>
      </w:pPr>
      <w:bookmarkStart w:id="47" w:name="_Toc23116"/>
      <w:bookmarkStart w:id="48" w:name="_Toc5006"/>
      <w:bookmarkStart w:id="49" w:name="_Toc7585"/>
      <w:bookmarkStart w:id="50" w:name="_Toc16184"/>
      <w:r>
        <w:rPr>
          <w:rFonts w:hint="default" w:ascii="Times New Roman" w:hAnsi="Times New Roman" w:eastAsia="仿宋_GB2312" w:cs="Times New Roman"/>
          <w:b w:val="0"/>
          <w:bCs w:val="0"/>
          <w:kern w:val="2"/>
          <w:sz w:val="32"/>
          <w:szCs w:val="32"/>
          <w:lang w:val="en-US" w:eastAsia="zh-CN" w:bidi="ar-SA"/>
        </w:rPr>
        <w:t>1．优化创新服务环境</w:t>
      </w:r>
      <w:bookmarkEnd w:id="47"/>
      <w:r>
        <w:rPr>
          <w:rFonts w:hint="default" w:ascii="Times New Roman" w:hAnsi="Times New Roman" w:eastAsia="仿宋_GB2312" w:cs="Times New Roman"/>
          <w:b w:val="0"/>
          <w:bCs w:val="0"/>
          <w:kern w:val="2"/>
          <w:sz w:val="32"/>
          <w:szCs w:val="32"/>
          <w:lang w:val="en-US" w:eastAsia="zh-CN" w:bidi="ar-SA"/>
        </w:rPr>
        <w:t>。强化政策支撑引领，贯彻落实国家和天津市有关科技进步法律法规，制定完善科技创新政策措施，推动科技创新领域的依法依规行政。优化政务服务，推进</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一制三化</w:t>
      </w:r>
      <w:r>
        <w:rPr>
          <w:rFonts w:hint="eastAsia" w:ascii="Times New Roman" w:hAnsi="Times New Roman" w:eastAsia="仿宋_GB2312" w:cs="Times New Roman"/>
          <w:b w:val="0"/>
          <w:bCs w:val="0"/>
          <w:kern w:val="2"/>
          <w:sz w:val="32"/>
          <w:szCs w:val="32"/>
          <w:lang w:val="en-US" w:eastAsia="zh-CN" w:bidi="ar-SA"/>
        </w:rPr>
        <w:t>”</w:t>
      </w:r>
      <w:r>
        <w:rPr>
          <w:rFonts w:hint="default" w:ascii="Times New Roman" w:hAnsi="Times New Roman" w:eastAsia="仿宋_GB2312" w:cs="Times New Roman"/>
          <w:b w:val="0"/>
          <w:bCs w:val="0"/>
          <w:kern w:val="2"/>
          <w:sz w:val="32"/>
          <w:szCs w:val="32"/>
          <w:lang w:val="en-US" w:eastAsia="zh-CN" w:bidi="ar-SA"/>
        </w:rPr>
        <w:t>改革，</w:t>
      </w:r>
      <w:r>
        <w:rPr>
          <w:rFonts w:hint="eastAsia" w:ascii="Times New Roman" w:hAnsi="Times New Roman" w:eastAsia="仿宋_GB2312" w:cs="Times New Roman"/>
          <w:b w:val="0"/>
          <w:bCs w:val="0"/>
          <w:kern w:val="2"/>
          <w:sz w:val="32"/>
          <w:szCs w:val="32"/>
          <w:lang w:val="en-US" w:eastAsia="zh-CN" w:bidi="ar-SA"/>
        </w:rPr>
        <w:t>持续优化</w:t>
      </w:r>
      <w:r>
        <w:rPr>
          <w:rFonts w:hint="default" w:ascii="Times New Roman" w:hAnsi="Times New Roman" w:eastAsia="仿宋_GB2312" w:cs="Times New Roman"/>
          <w:b w:val="0"/>
          <w:bCs w:val="0"/>
          <w:kern w:val="2"/>
          <w:sz w:val="32"/>
          <w:szCs w:val="32"/>
          <w:lang w:val="en-US" w:eastAsia="zh-CN" w:bidi="ar-SA"/>
        </w:rPr>
        <w:t>营商环境。完善科技金融服务，实施科技型企业上市培育工程，推动更多科技企业在资本市场公开上市，鼓励金融机构设立科技创新金融产品，建设专业化科技金融对接服务平台。</w:t>
      </w:r>
    </w:p>
    <w:p>
      <w:pPr>
        <w:keepNext w:val="0"/>
        <w:keepLines w:val="0"/>
        <w:pageBreakBefore w:val="0"/>
        <w:widowControl w:val="0"/>
        <w:kinsoku/>
        <w:wordWrap/>
        <w:overflowPunct/>
        <w:topLinePunct w:val="0"/>
        <w:autoSpaceDE/>
        <w:autoSpaceDN/>
        <w:bidi w:val="0"/>
        <w:adjustRightInd/>
        <w:snapToGrid/>
        <w:spacing w:line="520" w:lineRule="exact"/>
        <w:ind w:left="0" w:firstLine="640" w:firstLineChars="200"/>
        <w:jc w:val="both"/>
        <w:textAlignment w:val="auto"/>
        <w:rPr>
          <w:rFonts w:hint="default" w:ascii="Times New Roman" w:hAnsi="Times New Roman" w:eastAsia="仿宋_GB2312" w:cs="Times New Roman"/>
          <w:b w:val="0"/>
          <w:bCs w:val="0"/>
          <w:color w:val="000000"/>
          <w:kern w:val="2"/>
          <w:sz w:val="32"/>
          <w:szCs w:val="32"/>
          <w:lang w:val="en-US" w:eastAsia="zh-CN" w:bidi="ar-SA"/>
        </w:rPr>
      </w:pPr>
      <w:r>
        <w:rPr>
          <w:rFonts w:hint="default" w:ascii="Times New Roman" w:hAnsi="Times New Roman" w:eastAsia="仿宋_GB2312" w:cs="Times New Roman"/>
          <w:b w:val="0"/>
          <w:bCs w:val="0"/>
          <w:kern w:val="2"/>
          <w:sz w:val="32"/>
          <w:szCs w:val="32"/>
          <w:lang w:val="en-US" w:eastAsia="zh-CN" w:bidi="ar-SA"/>
        </w:rPr>
        <w:t>2．严格知识产权保护。</w:t>
      </w:r>
      <w:r>
        <w:rPr>
          <w:rFonts w:hint="default" w:ascii="Times New Roman" w:hAnsi="Times New Roman" w:eastAsia="仿宋_GB2312" w:cs="Times New Roman"/>
          <w:b w:val="0"/>
          <w:bCs w:val="0"/>
          <w:color w:val="000000"/>
          <w:kern w:val="2"/>
          <w:sz w:val="32"/>
          <w:szCs w:val="32"/>
          <w:lang w:val="en-US" w:eastAsia="zh-CN" w:bidi="ar-SA"/>
        </w:rPr>
        <w:t>推进知识产权高质量创造，培育一批拥有自主知识产权、具有核心竞争力的创新型企业，强化知识产权司法保护，加快建设知识产权运营服务体系，促进高端知识产权服务与区域产业融合发展，探索知识产权投融资新模式，推动知识产权质押融资，促进更多创新成果转化应用。鼓励支持企业和其他社会组织牵头或参与各类标准的起草和修订，形成具有自主知识产权的标准体系。</w:t>
      </w:r>
      <w:r>
        <w:rPr>
          <w:rFonts w:hint="default" w:ascii="Times New Roman" w:hAnsi="Times New Roman" w:eastAsia="仿宋_GB2312" w:cs="Times New Roman"/>
          <w:b w:val="0"/>
          <w:bCs w:val="0"/>
          <w:kern w:val="2"/>
          <w:sz w:val="32"/>
          <w:szCs w:val="32"/>
          <w:lang w:val="en-US" w:eastAsia="zh-CN" w:bidi="ar-SA"/>
        </w:rPr>
        <w:t xml:space="preserve"> </w:t>
      </w:r>
    </w:p>
    <w:bookmarkEnd w:id="48"/>
    <w:bookmarkEnd w:id="49"/>
    <w:bookmarkEnd w:id="50"/>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b w:val="0"/>
          <w:bCs w:val="0"/>
          <w:sz w:val="32"/>
          <w:szCs w:val="32"/>
        </w:rPr>
      </w:pPr>
      <w:bookmarkStart w:id="51" w:name="_Toc26635"/>
      <w:r>
        <w:rPr>
          <w:rFonts w:hint="default" w:ascii="Times New Roman" w:hAnsi="Times New Roman" w:eastAsia="仿宋_GB2312" w:cs="Times New Roman"/>
          <w:b w:val="0"/>
          <w:bCs w:val="0"/>
          <w:sz w:val="32"/>
          <w:szCs w:val="32"/>
        </w:rPr>
        <w:t>3．纵深推进全域科普</w:t>
      </w:r>
      <w:bookmarkEnd w:id="51"/>
      <w:r>
        <w:rPr>
          <w:rFonts w:hint="default" w:ascii="Times New Roman" w:hAnsi="Times New Roman" w:eastAsia="仿宋_GB2312" w:cs="Times New Roman"/>
          <w:b w:val="0"/>
          <w:bCs w:val="0"/>
          <w:sz w:val="32"/>
          <w:szCs w:val="32"/>
        </w:rPr>
        <w:t>。坚持把科学普及放在与科技创新同等重要的位置。认真贯彻落实《全民科学素质行动规划纲要（2021</w:t>
      </w:r>
      <w:r>
        <w:rPr>
          <w:rFonts w:hint="eastAsia" w:ascii="Times New Roman" w:hAnsi="Times New Roman" w:eastAsia="仿宋_GB2312" w:cs="Times New Roman"/>
          <w:b w:val="0"/>
          <w:bCs w:val="0"/>
          <w:sz w:val="32"/>
          <w:szCs w:val="32"/>
          <w:lang w:eastAsia="zh-CN"/>
        </w:rPr>
        <w:t>—</w:t>
      </w:r>
      <w:r>
        <w:rPr>
          <w:rFonts w:hint="default" w:ascii="Times New Roman" w:hAnsi="Times New Roman" w:eastAsia="仿宋_GB2312" w:cs="Times New Roman"/>
          <w:b w:val="0"/>
          <w:bCs w:val="0"/>
          <w:sz w:val="32"/>
          <w:szCs w:val="32"/>
        </w:rPr>
        <w:t>2035年）》，突出重点人群，实施科学素质提升行动。加大科普投入与基础设施建设力度，</w:t>
      </w:r>
      <w:r>
        <w:rPr>
          <w:rFonts w:hint="default" w:ascii="Times New Roman" w:hAnsi="Times New Roman" w:eastAsia="仿宋_GB2312" w:cs="Times New Roman"/>
          <w:b w:val="0"/>
          <w:bCs w:val="0"/>
          <w:sz w:val="32"/>
          <w:szCs w:val="32"/>
          <w:highlight w:val="none"/>
          <w:lang w:eastAsia="zh-CN"/>
        </w:rPr>
        <w:t>推动科技馆建设</w:t>
      </w:r>
      <w:r>
        <w:rPr>
          <w:rFonts w:hint="default" w:ascii="Times New Roman" w:hAnsi="Times New Roman" w:eastAsia="仿宋_GB2312" w:cs="Times New Roman"/>
          <w:b w:val="0"/>
          <w:bCs w:val="0"/>
          <w:sz w:val="32"/>
          <w:szCs w:val="32"/>
        </w:rPr>
        <w:t>。开展重点科普活动，打造特色科普活动品牌。建立线上线下相结合的科普产品创造机制，提升科普资源供给能力。大力</w:t>
      </w:r>
      <w:r>
        <w:rPr>
          <w:rFonts w:hint="default" w:ascii="Times New Roman" w:hAnsi="Times New Roman" w:eastAsia="仿宋_GB2312" w:cs="Times New Roman"/>
          <w:b w:val="0"/>
          <w:bCs w:val="0"/>
          <w:color w:val="000000"/>
          <w:sz w:val="32"/>
          <w:szCs w:val="32"/>
        </w:rPr>
        <w:t>弘扬科学精神和工匠精神，</w:t>
      </w:r>
      <w:r>
        <w:rPr>
          <w:rFonts w:hint="default" w:ascii="Times New Roman" w:hAnsi="Times New Roman" w:eastAsia="仿宋_GB2312" w:cs="Times New Roman"/>
          <w:b w:val="0"/>
          <w:bCs w:val="0"/>
          <w:sz w:val="32"/>
          <w:szCs w:val="32"/>
        </w:rPr>
        <w:t>加强科普队伍建设，</w:t>
      </w:r>
      <w:r>
        <w:rPr>
          <w:rFonts w:hint="default" w:ascii="Times New Roman" w:hAnsi="Times New Roman" w:eastAsia="仿宋_GB2312" w:cs="Times New Roman"/>
          <w:b w:val="0"/>
          <w:bCs w:val="0"/>
          <w:color w:val="000000"/>
          <w:sz w:val="32"/>
          <w:szCs w:val="32"/>
        </w:rPr>
        <w:t>推进科学知识和创新文化传播。</w:t>
      </w:r>
      <w:r>
        <w:rPr>
          <w:rFonts w:hint="default" w:ascii="Times New Roman" w:hAnsi="Times New Roman" w:eastAsia="仿宋_GB2312" w:cs="Times New Roman"/>
          <w:b w:val="0"/>
          <w:bCs w:val="0"/>
          <w:sz w:val="32"/>
          <w:szCs w:val="32"/>
        </w:rPr>
        <w:t>营造崇尚科学、尊重创新、努力创造的良好社会氛围，全面提升公民科学素质。</w:t>
      </w:r>
    </w:p>
    <w:p>
      <w:pPr>
        <w:pStyle w:val="2"/>
        <w:rPr>
          <w:rFonts w:hint="default"/>
        </w:rPr>
      </w:pPr>
    </w:p>
    <w:p>
      <w:pPr>
        <w:ind w:left="0" w:leftChars="0" w:right="0" w:rightChars="0" w:firstLine="0" w:firstLineChars="0"/>
        <w:jc w:val="center"/>
        <w:outlineLvl w:val="3"/>
        <w:rPr>
          <w:rFonts w:hint="default" w:ascii="仿宋_GB2312" w:hAnsi="仿宋_GB2312" w:eastAsia="仿宋_GB2312" w:cs="仿宋_GB2312"/>
          <w:b/>
          <w:bCs/>
          <w:sz w:val="30"/>
          <w:szCs w:val="30"/>
        </w:rPr>
      </w:pPr>
      <w:r>
        <w:rPr>
          <w:rFonts w:hint="default" w:ascii="仿宋_GB2312" w:hAnsi="仿宋_GB2312" w:eastAsia="仿宋_GB2312" w:cs="仿宋_GB2312"/>
          <w:b/>
          <w:bCs/>
          <w:sz w:val="30"/>
          <w:szCs w:val="30"/>
        </w:rPr>
        <w:t>专栏七：重点人群科学素质提升行动</w:t>
      </w:r>
    </w:p>
    <w:tbl>
      <w:tblPr>
        <w:tblStyle w:val="6"/>
        <w:tblW w:w="894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948" w:type="dxa"/>
          </w:tcPr>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0"/>
                <w:szCs w:val="30"/>
              </w:rPr>
            </w:pPr>
            <w:r>
              <w:rPr>
                <w:rFonts w:hint="eastAsia" w:ascii="楷体_GB2312" w:hAnsi="楷体_GB2312" w:eastAsia="楷体_GB2312" w:cs="楷体_GB2312"/>
                <w:sz w:val="30"/>
                <w:szCs w:val="30"/>
              </w:rPr>
              <w:t>青少年科学素质提升行动</w:t>
            </w:r>
            <w:r>
              <w:rPr>
                <w:rFonts w:hint="default" w:ascii="Times New Roman" w:hAnsi="Times New Roman" w:eastAsia="仿宋_GB2312" w:cs="Times New Roman"/>
                <w:sz w:val="30"/>
                <w:szCs w:val="30"/>
              </w:rPr>
              <w:t>。坚持立德树人，加强青少年科学教育和科普工作，将弘扬科学精神贯穿于育人全链条，实施科学精神进校园行动，将科学精神融入课堂教学和课外实践活动，激发青少年好奇心和想象力，增强科学兴趣、创新意识和创新能力，培养青少年爱国情怀、社会责任感、创新精神和实践能力，培育具有科学家潜质的青少年群体，夯实人才基础。</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0"/>
                <w:szCs w:val="30"/>
              </w:rPr>
            </w:pPr>
            <w:r>
              <w:rPr>
                <w:rFonts w:hint="default" w:ascii="楷体_GB2312" w:hAnsi="楷体_GB2312" w:eastAsia="楷体_GB2312" w:cs="楷体_GB2312"/>
                <w:sz w:val="30"/>
                <w:szCs w:val="30"/>
              </w:rPr>
              <w:t>农民科学素质提升行动</w:t>
            </w:r>
            <w:r>
              <w:rPr>
                <w:rFonts w:hint="default" w:ascii="Times New Roman" w:hAnsi="Times New Roman" w:eastAsia="仿宋_GB2312" w:cs="Times New Roman"/>
                <w:sz w:val="30"/>
                <w:szCs w:val="30"/>
              </w:rPr>
              <w:t>。提高农民文明生活、科学生产、科学经营能力，造就适应农业农村现代化发展要求的高素质农民队伍，加快推进乡村全面振兴。深入开展科普宣传教育活动，引导农民树立相信科学、和谐理性的思想观念。实施高素质农民培训计划，提高农民科技文化素质。实施乡村振兴科技支撑计划，引领带动现代农业发展。</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0"/>
                <w:szCs w:val="30"/>
              </w:rPr>
            </w:pPr>
            <w:r>
              <w:rPr>
                <w:rFonts w:hint="default" w:ascii="楷体_GB2312" w:hAnsi="楷体_GB2312" w:eastAsia="楷体_GB2312" w:cs="楷体_GB2312"/>
                <w:sz w:val="30"/>
                <w:szCs w:val="30"/>
              </w:rPr>
              <w:t>产业工人科学素质提升行动</w:t>
            </w:r>
            <w:r>
              <w:rPr>
                <w:rFonts w:hint="default" w:ascii="Times New Roman" w:hAnsi="Times New Roman" w:eastAsia="仿宋_GB2312" w:cs="Times New Roman"/>
                <w:sz w:val="30"/>
                <w:szCs w:val="30"/>
              </w:rPr>
              <w:t>。以提升技能素质为重点，提高产业工人职业技能和创新能力，打造有理想守信念、懂技术会创新、敢担当讲奉献的高素质产业工人队伍。开展理想信念和职业精神宣传教育，大力弘扬劳模精神、劳动精神、工匠精神，营造劳动光荣的社会风尚、精益求精的敬业风气和勇于创新的文化氛围。</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0"/>
                <w:szCs w:val="30"/>
              </w:rPr>
            </w:pPr>
            <w:r>
              <w:rPr>
                <w:rFonts w:hint="default" w:ascii="楷体_GB2312" w:hAnsi="楷体_GB2312" w:eastAsia="楷体_GB2312" w:cs="楷体_GB2312"/>
                <w:sz w:val="30"/>
                <w:szCs w:val="30"/>
              </w:rPr>
              <w:t>老年人科学素质提升行动</w:t>
            </w:r>
            <w:r>
              <w:rPr>
                <w:rFonts w:hint="default" w:ascii="Times New Roman" w:hAnsi="Times New Roman" w:eastAsia="仿宋_GB2312" w:cs="Times New Roman"/>
                <w:sz w:val="30"/>
                <w:szCs w:val="30"/>
              </w:rPr>
              <w:t>。以提升信息素养和健康素养为重点，实施智慧助老行动、银铃科普行动，加强老年人健康科普服务，提高老年人适应社会发展能力，增强获得感、幸福感、安全感，实现老有所乐、老有所学、老有所为。</w:t>
            </w:r>
          </w:p>
          <w:p>
            <w:pPr>
              <w:keepNext w:val="0"/>
              <w:keepLines w:val="0"/>
              <w:pageBreakBefore w:val="0"/>
              <w:widowControl w:val="0"/>
              <w:kinsoku/>
              <w:wordWrap/>
              <w:overflowPunct/>
              <w:topLinePunct w:val="0"/>
              <w:autoSpaceDE/>
              <w:autoSpaceDN/>
              <w:bidi w:val="0"/>
              <w:adjustRightInd w:val="0"/>
              <w:snapToGrid w:val="0"/>
              <w:spacing w:after="0" w:line="440" w:lineRule="exact"/>
              <w:ind w:firstLine="600" w:firstLineChars="200"/>
              <w:textAlignment w:val="auto"/>
              <w:rPr>
                <w:rFonts w:hint="default" w:ascii="Times New Roman" w:hAnsi="Times New Roman" w:eastAsia="仿宋_GB2312" w:cs="Times New Roman"/>
                <w:sz w:val="32"/>
                <w:szCs w:val="32"/>
              </w:rPr>
            </w:pPr>
            <w:r>
              <w:rPr>
                <w:rFonts w:hint="default" w:ascii="楷体_GB2312" w:hAnsi="楷体_GB2312" w:eastAsia="楷体_GB2312" w:cs="楷体_GB2312"/>
                <w:sz w:val="30"/>
                <w:szCs w:val="30"/>
                <w:u w:val="none"/>
              </w:rPr>
              <w:t>领导干部和公务员</w:t>
            </w:r>
            <w:r>
              <w:rPr>
                <w:rFonts w:hint="default" w:ascii="楷体_GB2312" w:hAnsi="楷体_GB2312" w:eastAsia="楷体_GB2312" w:cs="楷体_GB2312"/>
                <w:sz w:val="30"/>
                <w:szCs w:val="30"/>
              </w:rPr>
              <w:t>科学素质提升行动</w:t>
            </w:r>
            <w:r>
              <w:rPr>
                <w:rFonts w:hint="default" w:ascii="Times New Roman" w:hAnsi="Times New Roman" w:eastAsia="仿宋_GB2312" w:cs="Times New Roman"/>
                <w:sz w:val="30"/>
                <w:szCs w:val="30"/>
              </w:rPr>
              <w:t>。大力开展面向</w:t>
            </w:r>
            <w:r>
              <w:rPr>
                <w:rFonts w:hint="default" w:ascii="Times New Roman" w:hAnsi="Times New Roman" w:eastAsia="仿宋_GB2312" w:cs="Times New Roman"/>
                <w:sz w:val="30"/>
                <w:szCs w:val="30"/>
                <w:u w:val="none"/>
              </w:rPr>
              <w:t>领导干部和公务员</w:t>
            </w:r>
            <w:r>
              <w:rPr>
                <w:rFonts w:hint="default" w:ascii="Times New Roman" w:hAnsi="Times New Roman" w:eastAsia="仿宋_GB2312" w:cs="Times New Roman"/>
                <w:sz w:val="30"/>
                <w:szCs w:val="30"/>
              </w:rPr>
              <w:t>的科学素质培训，加强前沿科技知识和全球科技发展趋势学习，突出科学精神、科学思想培养，增强把握科学发展规律的能力，增强科学决策能力，提高科学履职水平，更好服务事业发展。</w:t>
            </w:r>
          </w:p>
        </w:tc>
      </w:tr>
    </w:tbl>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0"/>
        <w:rPr>
          <w:rFonts w:hint="default" w:ascii="Times New Roman" w:hAnsi="Times New Roman" w:eastAsia="黑体" w:cs="Times New Roman"/>
          <w:sz w:val="32"/>
          <w:szCs w:val="32"/>
        </w:rPr>
      </w:pPr>
      <w:bookmarkStart w:id="52" w:name="_Toc5519"/>
      <w:bookmarkStart w:id="53" w:name="_Toc3598"/>
      <w:r>
        <w:rPr>
          <w:rFonts w:hint="default" w:ascii="Times New Roman" w:hAnsi="Times New Roman" w:eastAsia="黑体" w:cs="Times New Roman"/>
          <w:sz w:val="32"/>
          <w:szCs w:val="32"/>
        </w:rPr>
        <w:t>四、保障措施</w:t>
      </w:r>
      <w:bookmarkEnd w:id="52"/>
      <w:bookmarkEnd w:id="53"/>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sz w:val="32"/>
          <w:szCs w:val="32"/>
        </w:rPr>
      </w:pPr>
      <w:bookmarkStart w:id="54" w:name="_Toc25888"/>
      <w:bookmarkStart w:id="55" w:name="_Toc2537"/>
      <w:r>
        <w:rPr>
          <w:rFonts w:hint="default" w:ascii="Times New Roman" w:hAnsi="Times New Roman" w:eastAsia="楷体_GB2312" w:cs="Times New Roman"/>
          <w:sz w:val="32"/>
          <w:szCs w:val="32"/>
        </w:rPr>
        <w:t>1</w:t>
      </w:r>
      <w:bookmarkEnd w:id="54"/>
      <w:r>
        <w:rPr>
          <w:rFonts w:hint="default" w:ascii="Times New Roman" w:hAnsi="Times New Roman" w:eastAsia="楷体_GB2312" w:cs="Times New Roman"/>
          <w:sz w:val="32"/>
          <w:szCs w:val="32"/>
        </w:rPr>
        <w:t>．</w:t>
      </w:r>
      <w:r>
        <w:rPr>
          <w:rFonts w:hint="eastAsia" w:ascii="Times New Roman" w:hAnsi="Times New Roman" w:eastAsia="楷体_GB2312" w:cs="Times New Roman"/>
          <w:sz w:val="32"/>
          <w:szCs w:val="32"/>
          <w:lang w:eastAsia="zh-CN"/>
        </w:rPr>
        <w:t>强化</w:t>
      </w:r>
      <w:r>
        <w:rPr>
          <w:rFonts w:hint="default" w:ascii="Times New Roman" w:hAnsi="Times New Roman" w:eastAsia="楷体_GB2312" w:cs="Times New Roman"/>
          <w:sz w:val="32"/>
          <w:szCs w:val="32"/>
        </w:rPr>
        <w:t>组织领导。</w:t>
      </w:r>
      <w:r>
        <w:rPr>
          <w:rFonts w:hint="default" w:ascii="Times New Roman" w:hAnsi="Times New Roman" w:eastAsia="仿宋_GB2312" w:cs="Times New Roman"/>
          <w:sz w:val="32"/>
          <w:szCs w:val="32"/>
        </w:rPr>
        <w:t>深入学习贯彻习近平总书记关于科技创新的重要论述，坚持党对科技工作的全面领导，</w:t>
      </w:r>
      <w:r>
        <w:rPr>
          <w:rFonts w:hint="eastAsia" w:ascii="Times New Roman" w:hAnsi="Times New Roman" w:eastAsia="仿宋_GB2312" w:cs="Times New Roman"/>
          <w:sz w:val="32"/>
          <w:szCs w:val="32"/>
          <w:lang w:eastAsia="zh-CN"/>
        </w:rPr>
        <w:t>充分发挥</w:t>
      </w:r>
      <w:r>
        <w:rPr>
          <w:rFonts w:hint="default" w:ascii="Times New Roman" w:hAnsi="Times New Roman" w:eastAsia="仿宋_GB2312" w:cs="Times New Roman"/>
          <w:sz w:val="32"/>
          <w:szCs w:val="32"/>
        </w:rPr>
        <w:t>区科技领导小组等科技议事协调机构</w:t>
      </w:r>
      <w:r>
        <w:rPr>
          <w:rFonts w:hint="eastAsia" w:ascii="Times New Roman" w:hAnsi="Times New Roman" w:eastAsia="仿宋_GB2312" w:cs="Times New Roman"/>
          <w:sz w:val="32"/>
          <w:szCs w:val="32"/>
          <w:lang w:val="en-US" w:eastAsia="zh-CN"/>
        </w:rPr>
        <w:t>作用</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健全完善工作协调和</w:t>
      </w:r>
      <w:r>
        <w:rPr>
          <w:rFonts w:hint="default" w:ascii="Times New Roman" w:hAnsi="Times New Roman" w:eastAsia="仿宋_GB2312" w:cs="Times New Roman"/>
          <w:sz w:val="32"/>
          <w:szCs w:val="32"/>
        </w:rPr>
        <w:t>议事决策</w:t>
      </w:r>
      <w:r>
        <w:rPr>
          <w:rFonts w:hint="eastAsia" w:ascii="Times New Roman" w:hAnsi="Times New Roman" w:eastAsia="仿宋_GB2312" w:cs="Times New Roman"/>
          <w:sz w:val="32"/>
          <w:szCs w:val="32"/>
          <w:lang w:val="en-US" w:eastAsia="zh-CN"/>
        </w:rPr>
        <w:t>机制</w:t>
      </w:r>
      <w:r>
        <w:rPr>
          <w:rFonts w:hint="default" w:ascii="Times New Roman" w:hAnsi="Times New Roman" w:eastAsia="仿宋_GB2312" w:cs="Times New Roman"/>
          <w:sz w:val="32"/>
          <w:szCs w:val="32"/>
        </w:rPr>
        <w:t>。各有关单位要切实扛起责任，</w:t>
      </w:r>
      <w:r>
        <w:rPr>
          <w:rFonts w:hint="eastAsia" w:ascii="Times New Roman" w:hAnsi="Times New Roman" w:eastAsia="仿宋_GB2312" w:cs="Times New Roman"/>
          <w:sz w:val="32"/>
          <w:szCs w:val="32"/>
          <w:lang w:eastAsia="zh-CN"/>
        </w:rPr>
        <w:t>主动进位、密切配合，凝聚起</w:t>
      </w:r>
      <w:r>
        <w:rPr>
          <w:rFonts w:hint="default" w:ascii="Times New Roman" w:hAnsi="Times New Roman" w:eastAsia="仿宋_GB2312" w:cs="Times New Roman"/>
          <w:sz w:val="32"/>
          <w:szCs w:val="32"/>
        </w:rPr>
        <w:t>规划实施</w:t>
      </w:r>
      <w:r>
        <w:rPr>
          <w:rFonts w:hint="eastAsia" w:ascii="Times New Roman" w:hAnsi="Times New Roman" w:eastAsia="仿宋_GB2312" w:cs="Times New Roman"/>
          <w:sz w:val="32"/>
          <w:szCs w:val="32"/>
          <w:lang w:eastAsia="zh-CN"/>
        </w:rPr>
        <w:t>的强大合力</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sz w:val="32"/>
          <w:szCs w:val="32"/>
        </w:rPr>
      </w:pPr>
      <w:r>
        <w:rPr>
          <w:rFonts w:hint="default" w:ascii="Times New Roman" w:hAnsi="Times New Roman" w:eastAsia="楷体_GB2312" w:cs="Times New Roman"/>
          <w:sz w:val="32"/>
          <w:szCs w:val="32"/>
        </w:rPr>
        <w:t>2．</w:t>
      </w:r>
      <w:r>
        <w:rPr>
          <w:rFonts w:hint="eastAsia" w:ascii="Times New Roman" w:hAnsi="Times New Roman" w:eastAsia="楷体_GB2312" w:cs="Times New Roman"/>
          <w:sz w:val="32"/>
          <w:szCs w:val="32"/>
          <w:lang w:eastAsia="zh-CN"/>
        </w:rPr>
        <w:t>强化资金保障</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建立政府引导、社会</w:t>
      </w:r>
      <w:r>
        <w:rPr>
          <w:rFonts w:hint="eastAsia" w:ascii="Times New Roman" w:hAnsi="Times New Roman" w:eastAsia="仿宋_GB2312" w:cs="Times New Roman"/>
          <w:sz w:val="32"/>
          <w:szCs w:val="32"/>
          <w:lang w:eastAsia="zh-CN"/>
        </w:rPr>
        <w:t>投入的多元保障</w:t>
      </w:r>
      <w:r>
        <w:rPr>
          <w:rFonts w:hint="default" w:ascii="Times New Roman" w:hAnsi="Times New Roman" w:eastAsia="仿宋_GB2312" w:cs="Times New Roman"/>
          <w:sz w:val="32"/>
          <w:szCs w:val="32"/>
        </w:rPr>
        <w:t>机制。加大财政科技投入力度，优化财政资金投入结构，提高财政资金使用效益。发挥企业技术创新的主体作用，通过财政引导、政策激励等措施，充分调动高新技术企业和科技型企业加大研发投入积极性。支持科技领军企业加大基础研究投入，提升原始创新能力。完善科技金融服务体系，</w:t>
      </w:r>
      <w:r>
        <w:rPr>
          <w:rFonts w:hint="eastAsia" w:ascii="Times New Roman" w:hAnsi="Times New Roman" w:eastAsia="仿宋_GB2312" w:cs="Times New Roman"/>
          <w:sz w:val="32"/>
          <w:szCs w:val="32"/>
          <w:lang w:eastAsia="zh-CN"/>
        </w:rPr>
        <w:t>为</w:t>
      </w:r>
      <w:r>
        <w:rPr>
          <w:rFonts w:hint="default" w:ascii="Times New Roman" w:hAnsi="Times New Roman" w:eastAsia="仿宋_GB2312" w:cs="Times New Roman"/>
          <w:sz w:val="32"/>
          <w:szCs w:val="32"/>
        </w:rPr>
        <w:t>企业科技创新</w:t>
      </w:r>
      <w:r>
        <w:rPr>
          <w:rFonts w:hint="eastAsia" w:ascii="Times New Roman" w:hAnsi="Times New Roman" w:eastAsia="仿宋_GB2312" w:cs="Times New Roman"/>
          <w:sz w:val="32"/>
          <w:szCs w:val="32"/>
          <w:lang w:eastAsia="zh-CN"/>
        </w:rPr>
        <w:t>提供坚实保障</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eastAsia" w:ascii="Times New Roman" w:hAnsi="Times New Roman" w:eastAsia="仿宋_GB2312" w:cs="Times New Roman"/>
          <w:sz w:val="32"/>
          <w:szCs w:val="32"/>
          <w:lang w:eastAsia="zh-CN"/>
        </w:rPr>
      </w:pPr>
      <w:r>
        <w:rPr>
          <w:rFonts w:hint="default" w:ascii="Times New Roman" w:hAnsi="Times New Roman" w:eastAsia="楷体_GB2312" w:cs="Times New Roman"/>
          <w:sz w:val="32"/>
          <w:szCs w:val="32"/>
        </w:rPr>
        <w:t>3．</w:t>
      </w:r>
      <w:r>
        <w:rPr>
          <w:rFonts w:hint="eastAsia" w:ascii="Times New Roman" w:hAnsi="Times New Roman" w:eastAsia="楷体_GB2312" w:cs="Times New Roman"/>
          <w:sz w:val="32"/>
          <w:szCs w:val="32"/>
          <w:lang w:val="en-US" w:eastAsia="zh-CN"/>
        </w:rPr>
        <w:t>强化</w:t>
      </w:r>
      <w:r>
        <w:rPr>
          <w:rFonts w:hint="default" w:ascii="Times New Roman" w:hAnsi="Times New Roman" w:eastAsia="楷体_GB2312" w:cs="Times New Roman"/>
          <w:sz w:val="32"/>
          <w:szCs w:val="32"/>
        </w:rPr>
        <w:t>统筹</w:t>
      </w:r>
      <w:r>
        <w:rPr>
          <w:rFonts w:hint="eastAsia" w:ascii="Times New Roman" w:hAnsi="Times New Roman" w:eastAsia="楷体_GB2312" w:cs="Times New Roman"/>
          <w:sz w:val="32"/>
          <w:szCs w:val="32"/>
          <w:lang w:val="en-US" w:eastAsia="zh-CN"/>
        </w:rPr>
        <w:t>服务</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深化科技创新体制改革，加快科技管理职能从研发管理向创新服务转变。建立科技创新宏观决策机制，完善科技项目管理机制，强化科技监督管理机制，健全科技创新统筹协调机制，</w:t>
      </w:r>
      <w:r>
        <w:rPr>
          <w:rFonts w:hint="eastAsia" w:ascii="Times New Roman" w:hAnsi="Times New Roman" w:eastAsia="仿宋_GB2312" w:cs="Times New Roman"/>
          <w:sz w:val="32"/>
          <w:szCs w:val="32"/>
          <w:lang w:eastAsia="zh-CN"/>
        </w:rPr>
        <w:t>切实提升服务水平，持续优化科技创新环境。</w:t>
      </w:r>
    </w:p>
    <w:bookmarkEnd w:id="55"/>
    <w:p>
      <w:pPr>
        <w:keepNext w:val="0"/>
        <w:keepLines w:val="0"/>
        <w:pageBreakBefore w:val="0"/>
        <w:widowControl w:val="0"/>
        <w:kinsoku/>
        <w:wordWrap/>
        <w:overflowPunct/>
        <w:topLinePunct w:val="0"/>
        <w:autoSpaceDE/>
        <w:autoSpaceDN/>
        <w:bidi w:val="0"/>
        <w:adjustRightInd/>
        <w:snapToGrid/>
        <w:spacing w:line="520" w:lineRule="exact"/>
        <w:ind w:firstLine="640" w:firstLineChars="200"/>
        <w:textAlignment w:val="auto"/>
        <w:outlineLvl w:val="1"/>
        <w:rPr>
          <w:rFonts w:hint="default" w:ascii="Times New Roman" w:hAnsi="Times New Roman" w:eastAsia="仿宋_GB2312" w:cs="Times New Roman"/>
          <w:sz w:val="32"/>
          <w:szCs w:val="32"/>
        </w:rPr>
      </w:pPr>
      <w:bookmarkStart w:id="56" w:name="_Toc17033"/>
      <w:bookmarkStart w:id="57" w:name="_Toc11875"/>
      <w:r>
        <w:rPr>
          <w:rFonts w:hint="default" w:ascii="Times New Roman" w:hAnsi="Times New Roman" w:eastAsia="楷体_GB2312" w:cs="Times New Roman"/>
          <w:sz w:val="32"/>
          <w:szCs w:val="32"/>
        </w:rPr>
        <w:t>4．</w:t>
      </w:r>
      <w:r>
        <w:rPr>
          <w:rFonts w:hint="eastAsia" w:ascii="Times New Roman" w:hAnsi="Times New Roman" w:eastAsia="楷体_GB2312" w:cs="Times New Roman"/>
          <w:sz w:val="32"/>
          <w:szCs w:val="32"/>
          <w:lang w:val="en-US" w:eastAsia="zh-CN"/>
        </w:rPr>
        <w:t>强化</w:t>
      </w:r>
      <w:r>
        <w:rPr>
          <w:rFonts w:hint="default" w:ascii="Times New Roman" w:hAnsi="Times New Roman" w:eastAsia="楷体_GB2312" w:cs="Times New Roman"/>
          <w:sz w:val="32"/>
          <w:szCs w:val="32"/>
        </w:rPr>
        <w:t>监测</w:t>
      </w:r>
      <w:r>
        <w:rPr>
          <w:rFonts w:hint="eastAsia" w:ascii="Times New Roman" w:hAnsi="Times New Roman" w:eastAsia="楷体_GB2312" w:cs="Times New Roman"/>
          <w:sz w:val="32"/>
          <w:szCs w:val="32"/>
          <w:lang w:val="en-US" w:eastAsia="zh-CN"/>
        </w:rPr>
        <w:t>评估</w:t>
      </w:r>
      <w:r>
        <w:rPr>
          <w:rFonts w:hint="default" w:ascii="Times New Roman" w:hAnsi="Times New Roman" w:eastAsia="楷体_GB2312" w:cs="Times New Roman"/>
          <w:sz w:val="32"/>
          <w:szCs w:val="32"/>
        </w:rPr>
        <w:t>。</w:t>
      </w:r>
      <w:r>
        <w:rPr>
          <w:rFonts w:hint="default" w:ascii="Times New Roman" w:hAnsi="Times New Roman" w:eastAsia="仿宋_GB2312" w:cs="Times New Roman"/>
          <w:sz w:val="32"/>
          <w:szCs w:val="32"/>
        </w:rPr>
        <w:t>建立规划监测评估制度，充分发挥规划的宏观指导、统筹协调功能。</w:t>
      </w:r>
      <w:bookmarkEnd w:id="56"/>
      <w:bookmarkEnd w:id="57"/>
      <w:r>
        <w:rPr>
          <w:rFonts w:hint="eastAsia" w:ascii="Times New Roman" w:hAnsi="Times New Roman" w:eastAsia="仿宋_GB2312" w:cs="Times New Roman"/>
          <w:sz w:val="32"/>
          <w:szCs w:val="32"/>
          <w:lang w:eastAsia="zh-CN"/>
        </w:rPr>
        <w:t>坚持</w:t>
      </w:r>
      <w:r>
        <w:rPr>
          <w:rFonts w:hint="default" w:ascii="Times New Roman" w:hAnsi="Times New Roman" w:eastAsia="仿宋_GB2312" w:cs="Times New Roman"/>
          <w:sz w:val="32"/>
          <w:szCs w:val="32"/>
        </w:rPr>
        <w:t>目标管理和过程管理相结合，加强年度计划和规划部署的有机衔接，开展规划实施情况的动态监测，形成监督过程、评估绩效、反馈结果和修正规划的监测机制，促进各项规划任务的落实。</w:t>
      </w:r>
      <w:bookmarkStart w:id="58" w:name="_GoBack"/>
      <w:bookmarkEnd w:id="58"/>
    </w:p>
    <w:p>
      <w:pPr>
        <w:spacing w:line="560" w:lineRule="exact"/>
        <w:ind w:firstLine="640" w:firstLineChars="200"/>
        <w:outlineLvl w:val="1"/>
        <w:rPr>
          <w:rFonts w:hint="default" w:ascii="Times New Roman" w:hAnsi="Times New Roman" w:eastAsia="仿宋_GB2312" w:cs="Times New Roman"/>
          <w:sz w:val="32"/>
          <w:szCs w:val="32"/>
        </w:rPr>
      </w:pPr>
    </w:p>
    <w:p>
      <w:pPr>
        <w:keepNext w:val="0"/>
        <w:keepLines w:val="0"/>
        <w:pageBreakBefore w:val="0"/>
        <w:widowControl w:val="0"/>
        <w:kinsoku/>
        <w:wordWrap/>
        <w:overflowPunct/>
        <w:topLinePunct w:val="0"/>
        <w:autoSpaceDE/>
        <w:autoSpaceDN/>
        <w:bidi w:val="0"/>
        <w:adjustRightInd w:val="0"/>
        <w:snapToGrid w:val="0"/>
        <w:spacing w:line="560" w:lineRule="exact"/>
        <w:ind w:firstLine="640" w:firstLineChars="200"/>
        <w:jc w:val="both"/>
        <w:textAlignment w:val="auto"/>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pStyle w:val="2"/>
        <w:rPr>
          <w:rFonts w:hint="default" w:ascii="Times New Roman" w:hAnsi="Times New Roman" w:eastAsia="仿宋_GB2312" w:cs="Times New Roman"/>
          <w:b w:val="0"/>
          <w:bCs w:val="0"/>
          <w:snapToGrid w:val="0"/>
          <w:spacing w:val="0"/>
          <w:kern w:val="0"/>
          <w:sz w:val="32"/>
          <w:szCs w:val="32"/>
          <w:u w:val="thick"/>
        </w:rPr>
      </w:pPr>
    </w:p>
    <w:p>
      <w:pPr>
        <w:adjustRightInd w:val="0"/>
        <w:snapToGrid w:val="0"/>
        <w:spacing w:line="520" w:lineRule="exact"/>
        <w:rPr>
          <w:rFonts w:hint="eastAsia" w:eastAsia="仿宋_GB2312"/>
          <w:sz w:val="32"/>
          <w:szCs w:val="32"/>
        </w:rPr>
      </w:pPr>
    </w:p>
    <w:sectPr>
      <w:footerReference r:id="rId4" w:type="default"/>
      <w:pgSz w:w="11906" w:h="16838"/>
      <w:pgMar w:top="2098" w:right="1474" w:bottom="1985" w:left="1588" w:header="851" w:footer="992" w:gutter="0"/>
      <w:pgNumType w:fmt="numberInDash"/>
      <w:cols w:space="425"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Nimbus Roman No9 L"/>
    <w:panose1 w:val="02020603050405020304"/>
    <w:charset w:val="86"/>
    <w:family w:val="auto"/>
    <w:pitch w:val="default"/>
    <w:sig w:usb0="00000000" w:usb1="00000000" w:usb2="00000008"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Nimbus Roman No9 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楷体_GB2312">
    <w:altName w:val="楷体"/>
    <w:panose1 w:val="02010609030101010101"/>
    <w:charset w:val="86"/>
    <w:family w:val="modern"/>
    <w:pitch w:val="default"/>
    <w:sig w:usb0="00000000" w:usb1="00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小标宋简体">
    <w:panose1 w:val="02000000000000000000"/>
    <w:charset w:val="86"/>
    <w:family w:val="script"/>
    <w:pitch w:val="default"/>
    <w:sig w:usb0="A00002BF" w:usb1="184F6CFA" w:usb2="00000012" w:usb3="00000000" w:csb0="00040001" w:csb1="00000000"/>
  </w:font>
  <w:font w:name="仿宋">
    <w:panose1 w:val="02010609060101010101"/>
    <w:charset w:val="86"/>
    <w:family w:val="modern"/>
    <w:pitch w:val="default"/>
    <w:sig w:usb0="800002BF" w:usb1="38CF7CFA" w:usb2="00000016" w:usb3="00000000" w:csb0="00040001" w:csb1="00000000"/>
  </w:font>
  <w:font w:name="Nimbus Roman No9 L">
    <w:panose1 w:val="00000000000000000000"/>
    <w:charset w:val="00"/>
    <w:family w:val="auto"/>
    <w:pitch w:val="default"/>
    <w:sig w:usb0="00000000" w:usb1="00000000" w:usb2="00000000" w:usb3="00000000" w:csb0="00000000" w:csb1="00000000"/>
  </w:font>
  <w:font w:name="方正书宋_GBK">
    <w:panose1 w:val="02000000000000000000"/>
    <w:charset w:val="86"/>
    <w:family w:val="auto"/>
    <w:pitch w:val="default"/>
    <w:sig w:usb0="00000001" w:usb1="08000000" w:usb2="00000000" w:usb3="00000000" w:csb0="00040000" w:csb1="00000000"/>
  </w:font>
  <w:font w:name="楷体">
    <w:panose1 w:val="02010609060101010101"/>
    <w:charset w:val="86"/>
    <w:family w:val="auto"/>
    <w:pitch w:val="default"/>
    <w:sig w:usb0="800002BF" w:usb1="38CF7CFA" w:usb2="00000016" w:usb3="00000000" w:csb0="00040001" w:csb1="00000000"/>
  </w:font>
  <w:font w:name="方正宋体S-超大字符集">
    <w:panose1 w:val="02000000000000000000"/>
    <w:charset w:val="86"/>
    <w:family w:val="auto"/>
    <w:pitch w:val="default"/>
    <w:sig w:usb0="00000001" w:usb1="08000000" w:usb2="00000000" w:usb3="00000000" w:csb0="00040000" w:csb1="00000000"/>
  </w:font>
  <w:font w:name="Arial">
    <w:altName w:val="Nimbus Roman No9 L"/>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widowControl w:val="0"/>
      <w:kinsoku w:val="0"/>
      <w:overflowPunct w:val="0"/>
      <w:spacing w:line="14" w:lineRule="auto"/>
      <w:ind w:left="0"/>
      <w:jc w:val="both"/>
      <w:rPr>
        <w:rFonts w:hint="default" w:ascii="仿宋" w:hAnsi="仿宋" w:eastAsia="仿宋" w:cs="Times New Roman"/>
        <w:kern w:val="2"/>
        <w:sz w:val="20"/>
        <w:szCs w:val="24"/>
        <w:lang w:val="en-US" w:eastAsia="zh-CN" w:bidi="ar-SA"/>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
      <w:framePr w:wrap="around" w:vAnchor="text" w:hAnchor="margin" w:xAlign="outside" w:y="1"/>
      <w:rPr>
        <w:rStyle w:val="8"/>
        <w:rFonts w:ascii="宋体" w:hAnsi="宋体"/>
        <w:sz w:val="28"/>
        <w:szCs w:val="28"/>
      </w:rPr>
    </w:pPr>
    <w:r>
      <w:rPr>
        <w:rStyle w:val="8"/>
        <w:rFonts w:ascii="宋体" w:hAnsi="宋体"/>
        <w:sz w:val="28"/>
        <w:szCs w:val="28"/>
      </w:rPr>
      <w:fldChar w:fldCharType="begin"/>
    </w:r>
    <w:r>
      <w:rPr>
        <w:rStyle w:val="8"/>
        <w:rFonts w:ascii="宋体" w:hAnsi="宋体"/>
        <w:sz w:val="28"/>
        <w:szCs w:val="28"/>
      </w:rPr>
      <w:instrText xml:space="preserve">PAGE  </w:instrText>
    </w:r>
    <w:r>
      <w:rPr>
        <w:rStyle w:val="8"/>
        <w:rFonts w:ascii="宋体" w:hAnsi="宋体"/>
        <w:sz w:val="28"/>
        <w:szCs w:val="28"/>
      </w:rPr>
      <w:fldChar w:fldCharType="separate"/>
    </w:r>
    <w:r>
      <w:rPr>
        <w:rStyle w:val="8"/>
        <w:rFonts w:ascii="宋体" w:hAnsi="宋体"/>
        <w:sz w:val="28"/>
        <w:szCs w:val="28"/>
      </w:rPr>
      <w:t>- 12 -</w:t>
    </w:r>
    <w:r>
      <w:rPr>
        <w:rStyle w:val="8"/>
        <w:rFonts w:ascii="宋体" w:hAnsi="宋体"/>
        <w:sz w:val="28"/>
        <w:szCs w:val="28"/>
      </w:rPr>
      <w:fldChar w:fldCharType="end"/>
    </w:r>
  </w:p>
  <w:p>
    <w:pPr>
      <w:pStyle w:val="3"/>
      <w:ind w:right="360" w:firstLine="360"/>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val="true"/>
  <w:documentProtection w:enforcement="0"/>
  <w:defaultTabStop w:val="420"/>
  <w:hyphenationZone w:val="36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2BB3"/>
    <w:rsid w:val="000911F0"/>
    <w:rsid w:val="000C3BFB"/>
    <w:rsid w:val="00122CB1"/>
    <w:rsid w:val="00197DE1"/>
    <w:rsid w:val="002A2955"/>
    <w:rsid w:val="002B1774"/>
    <w:rsid w:val="00362BB3"/>
    <w:rsid w:val="003D2C52"/>
    <w:rsid w:val="00507DE7"/>
    <w:rsid w:val="00534267"/>
    <w:rsid w:val="005A4663"/>
    <w:rsid w:val="005A7DC8"/>
    <w:rsid w:val="00823D10"/>
    <w:rsid w:val="00825A2D"/>
    <w:rsid w:val="00AA4C57"/>
    <w:rsid w:val="00AB07BF"/>
    <w:rsid w:val="00AE714A"/>
    <w:rsid w:val="00B77B7A"/>
    <w:rsid w:val="00BE6554"/>
    <w:rsid w:val="00F034A4"/>
    <w:rsid w:val="00F85D05"/>
    <w:rsid w:val="0FFDA1D0"/>
    <w:rsid w:val="DFF932EC"/>
    <w:rsid w:val="F9A7792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unhideWhenUsed="0" w:uiPriority="0" w:semiHidden="0" w:name="heading 1"/>
    <w:lsdException w:unhideWhenUsed="0" w:uiPriority="0" w:semiHidden="0" w:name="heading 2"/>
    <w:lsdException w:unhideWhenUsed="0" w:uiPriority="0" w:semiHidden="0" w:name="heading 3"/>
    <w:lsdException w:unhideWhenUsed="0" w:uiPriority="0" w:semiHidden="0" w:name="heading 4"/>
    <w:lsdException w:unhideWhenUsed="0" w:uiPriority="0" w:semiHidden="0" w:name="heading 5"/>
    <w:lsdException w:unhideWhenUsed="0" w:uiPriority="0" w:semiHidden="0" w:name="heading 6"/>
    <w:lsdException w:unhideWhenUsed="0" w:uiPriority="0" w:semiHidden="0" w:name="heading 7"/>
    <w:lsdException w:unhideWhenUsed="0" w:uiPriority="0" w:semiHidden="0" w:name="heading 8"/>
    <w:lsdException w:unhideWhenUsed="0" w:uiPriority="0" w:semiHidden="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unhideWhenUsed="0" w:uiPriority="0" w:semiHidden="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unhideWhenUsed="0" w:uiPriority="0" w:semiHidden="0" w:name="Strong"/>
    <w:lsdException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9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customStyle="1" w:styleId="2">
    <w:name w:val="无间隔1"/>
    <w:qFormat/>
    <w:uiPriority w:val="99"/>
    <w:pPr>
      <w:widowControl w:val="0"/>
      <w:ind w:firstLine="200" w:firstLineChars="200"/>
      <w:jc w:val="both"/>
    </w:pPr>
    <w:rPr>
      <w:rFonts w:ascii="Times New Roman" w:hAnsi="Times New Roman" w:eastAsia="宋体" w:cs="Times New Roman"/>
      <w:kern w:val="2"/>
      <w:sz w:val="28"/>
      <w:szCs w:val="24"/>
      <w:lang w:val="en-US" w:eastAsia="zh-CN" w:bidi="ar-SA"/>
    </w:r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6">
    <w:name w:val="Table Grid"/>
    <w:qFormat/>
    <w:uiPriority w:val="99"/>
    <w:pPr>
      <w:widowControl w:val="0"/>
      <w:spacing w:after="0" w:line="240" w:lineRule="auto"/>
      <w:jc w:val="both"/>
    </w:pPr>
    <w:rPr>
      <w:rFonts w:ascii="Times New Roman" w:hAnsi="Times New Roman" w:eastAsia="宋体"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page number"/>
    <w:basedOn w:val="7"/>
    <w:qFormat/>
    <w:uiPriority w:val="0"/>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 Corporation</Company>
  <Pages>1</Pages>
  <Words>713</Words>
  <Characters>4069</Characters>
  <Lines>33</Lines>
  <Paragraphs>9</Paragraphs>
  <TotalTime>2</TotalTime>
  <ScaleCrop>false</ScaleCrop>
  <LinksUpToDate>false</LinksUpToDate>
  <CharactersWithSpaces>4773</CharactersWithSpaces>
  <Application>WPS Office_11.8.2.10125_F1E327BC-269C-435d-A152-05C5408002CA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2017-09-05T02:05:00Z</dcterms:created>
  <dc:creator>lenovo</dc:creator>
  <cp:lastModifiedBy>kylin</cp:lastModifiedBy>
  <cp:lastPrinted>2017-09-09T10:26:00Z</cp:lastPrinted>
  <dcterms:modified xsi:type="dcterms:W3CDTF">2021-10-22T15:13:29Z</dcterms:modified>
  <dc:title>天津市蓟州区人民政府办公室文件</dc:title>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2052-11.8.2.10125</vt:lpwstr>
  </property>
</Properties>
</file>