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8280"/>
          <w:tab w:val="left" w:pos="8460"/>
          <w:tab w:val="left" w:pos="8640"/>
        </w:tabs>
        <w:adjustRightInd w:val="0"/>
        <w:snapToGrid w:val="0"/>
        <w:spacing w:line="520" w:lineRule="exact"/>
        <w:rPr>
          <w:rFonts w:hint="eastAsia" w:eastAsia="楷体_GB2312"/>
          <w:b/>
          <w:w w:val="90"/>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天津市蓟州区人民政府</w:t>
      </w:r>
      <w:r>
        <w:rPr>
          <w:rFonts w:hint="default" w:ascii="Times New Roman" w:hAnsi="Times New Roman" w:eastAsia="方正小标宋_GBK" w:cs="Times New Roman"/>
          <w:b w:val="0"/>
          <w:bCs w:val="0"/>
          <w:spacing w:val="0"/>
          <w:sz w:val="44"/>
          <w:szCs w:val="44"/>
          <w:lang w:eastAsia="zh-CN"/>
        </w:rPr>
        <w:t>办公室</w:t>
      </w:r>
      <w:r>
        <w:rPr>
          <w:rFonts w:hint="default" w:ascii="Times New Roman" w:hAnsi="Times New Roman" w:eastAsia="方正小标宋_GBK" w:cs="Times New Roman"/>
          <w:b w:val="0"/>
          <w:bCs w:val="0"/>
          <w:spacing w:val="0"/>
          <w:sz w:val="44"/>
          <w:szCs w:val="44"/>
        </w:rPr>
        <w:t>关于印发</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蓟州区人民政府202</w:t>
      </w:r>
      <w:r>
        <w:rPr>
          <w:rFonts w:hint="eastAsia" w:eastAsia="方正小标宋_GBK" w:cs="Times New Roman"/>
          <w:b w:val="0"/>
          <w:bCs w:val="0"/>
          <w:spacing w:val="0"/>
          <w:sz w:val="44"/>
          <w:szCs w:val="44"/>
          <w:lang w:val="en-US" w:eastAsia="zh-CN"/>
        </w:rPr>
        <w:t>3</w:t>
      </w:r>
      <w:r>
        <w:rPr>
          <w:rFonts w:hint="default" w:ascii="Times New Roman" w:hAnsi="Times New Roman" w:eastAsia="方正小标宋_GBK" w:cs="Times New Roman"/>
          <w:b w:val="0"/>
          <w:bCs w:val="0"/>
          <w:spacing w:val="0"/>
          <w:sz w:val="44"/>
          <w:szCs w:val="44"/>
        </w:rPr>
        <w:t>年度重大行政决策</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val="0"/>
          <w:spacing w:val="0"/>
          <w:sz w:val="44"/>
          <w:szCs w:val="44"/>
        </w:rPr>
      </w:pPr>
      <w:r>
        <w:rPr>
          <w:rFonts w:hint="default" w:ascii="Times New Roman" w:hAnsi="Times New Roman" w:eastAsia="方正小标宋_GBK" w:cs="Times New Roman"/>
          <w:b w:val="0"/>
          <w:bCs w:val="0"/>
          <w:spacing w:val="0"/>
          <w:sz w:val="44"/>
          <w:szCs w:val="44"/>
        </w:rPr>
        <w:t>事项目录的通知</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 w:val="0"/>
          <w:bCs w:val="0"/>
          <w:spacing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各乡镇人民政府、街道办事处，各委、办、局：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为规范重大行政决策行为，加快法治政府建设，根据《重大行政决策程序暂行条例》《天津市重大行政决策程序规定》</w:t>
      </w:r>
      <w:r>
        <w:rPr>
          <w:rFonts w:hint="eastAsia" w:ascii="Times New Roman" w:hAnsi="Times New Roman" w:eastAsia="仿宋_GB2312" w:cs="Times New Roman"/>
          <w:b w:val="0"/>
          <w:bCs w:val="0"/>
          <w:color w:val="000000"/>
          <w:kern w:val="2"/>
          <w:sz w:val="32"/>
          <w:szCs w:val="32"/>
          <w:lang w:val="en-US" w:eastAsia="zh-CN" w:bidi="ar-SA"/>
        </w:rPr>
        <w:t>《蓟州区重大行政决策程序实施细则》</w:t>
      </w:r>
      <w:r>
        <w:rPr>
          <w:rFonts w:hint="default" w:ascii="Times New Roman" w:hAnsi="Times New Roman" w:eastAsia="仿宋_GB2312" w:cs="Times New Roman"/>
          <w:b w:val="0"/>
          <w:bCs w:val="0"/>
          <w:color w:val="000000"/>
          <w:kern w:val="2"/>
          <w:sz w:val="32"/>
          <w:szCs w:val="32"/>
          <w:lang w:val="en-US" w:eastAsia="zh-CN" w:bidi="ar-SA"/>
        </w:rPr>
        <w:t>等规定，经区委、区政府同意，现将《蓟州区人民政府202</w:t>
      </w:r>
      <w:r>
        <w:rPr>
          <w:rFonts w:hint="eastAsia"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年度重大行政决策事项目录》印发给你们，并就有关工作通知如下：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一、列入目录的重大行政决策事项应当依法履行公众参与、专家论证、风险评估、合法性审查和集体讨论决定等法定程序。未履行重大行政决策相关程序的，不得提请区政府常务会议审议。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二、列入目录的重大行政决策事项，承办单位要认真组织实施，落实责任分工，把握时间节点，确保按时完成。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三、根据</w:t>
      </w:r>
      <w:r>
        <w:rPr>
          <w:rFonts w:hint="eastAsia" w:eastAsia="仿宋_GB2312" w:cs="Times New Roman"/>
          <w:b w:val="0"/>
          <w:bCs w:val="0"/>
          <w:color w:val="000000"/>
          <w:kern w:val="2"/>
          <w:sz w:val="32"/>
          <w:szCs w:val="32"/>
          <w:lang w:val="en-US" w:eastAsia="zh-CN" w:bidi="ar-SA"/>
        </w:rPr>
        <w:t>区政府</w:t>
      </w:r>
      <w:r>
        <w:rPr>
          <w:rFonts w:hint="default" w:ascii="Times New Roman" w:hAnsi="Times New Roman" w:eastAsia="仿宋_GB2312" w:cs="Times New Roman"/>
          <w:b w:val="0"/>
          <w:bCs w:val="0"/>
          <w:color w:val="000000"/>
          <w:kern w:val="2"/>
          <w:sz w:val="32"/>
          <w:szCs w:val="32"/>
          <w:lang w:val="en-US" w:eastAsia="zh-CN" w:bidi="ar-SA"/>
        </w:rPr>
        <w:t>年度重点工作任务实际情况，确需对列入重大行政决策事项目录的决策事项进行调整的，由有关部门研究论证后报</w:t>
      </w:r>
      <w:r>
        <w:rPr>
          <w:rFonts w:hint="eastAsia" w:eastAsia="仿宋_GB2312" w:cs="Times New Roman"/>
          <w:b w:val="0"/>
          <w:bCs w:val="0"/>
          <w:color w:val="000000"/>
          <w:kern w:val="2"/>
          <w:sz w:val="32"/>
          <w:szCs w:val="32"/>
          <w:lang w:val="en-US" w:eastAsia="zh-CN" w:bidi="ar-SA"/>
        </w:rPr>
        <w:t>区政府</w:t>
      </w:r>
      <w:r>
        <w:rPr>
          <w:rFonts w:hint="default" w:ascii="Times New Roman" w:hAnsi="Times New Roman" w:eastAsia="仿宋_GB2312" w:cs="Times New Roman"/>
          <w:b w:val="0"/>
          <w:bCs w:val="0"/>
          <w:color w:val="000000"/>
          <w:kern w:val="2"/>
          <w:sz w:val="32"/>
          <w:szCs w:val="32"/>
          <w:lang w:val="en-US" w:eastAsia="zh-CN" w:bidi="ar-SA"/>
        </w:rPr>
        <w:t>确定，并按程序报</w:t>
      </w:r>
      <w:r>
        <w:rPr>
          <w:rFonts w:hint="eastAsia" w:eastAsia="仿宋_GB2312" w:cs="Times New Roman"/>
          <w:b w:val="0"/>
          <w:bCs w:val="0"/>
          <w:color w:val="000000"/>
          <w:kern w:val="2"/>
          <w:sz w:val="32"/>
          <w:szCs w:val="32"/>
          <w:lang w:val="en-US" w:eastAsia="zh-CN" w:bidi="ar-SA"/>
        </w:rPr>
        <w:t>区</w:t>
      </w:r>
      <w:r>
        <w:rPr>
          <w:rFonts w:hint="default" w:ascii="Times New Roman" w:hAnsi="Times New Roman" w:eastAsia="仿宋_GB2312" w:cs="Times New Roman"/>
          <w:b w:val="0"/>
          <w:bCs w:val="0"/>
          <w:color w:val="000000"/>
          <w:kern w:val="2"/>
          <w:sz w:val="32"/>
          <w:szCs w:val="32"/>
          <w:lang w:val="en-US" w:eastAsia="zh-CN" w:bidi="ar-SA"/>
        </w:rPr>
        <w:t>委同意。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四、列入目录的重大行政决策事项，在完成公众参与、专家论证、风险评估、本单位合法性审查程序之后，承办单位应整理好相关卷宗</w:t>
      </w:r>
      <w:r>
        <w:rPr>
          <w:rFonts w:hint="eastAsia" w:eastAsia="仿宋_GB2312" w:cs="Times New Roman"/>
          <w:b w:val="0"/>
          <w:bCs w:val="0"/>
          <w:color w:val="000000"/>
          <w:kern w:val="2"/>
          <w:sz w:val="32"/>
          <w:szCs w:val="32"/>
          <w:lang w:val="en-US" w:eastAsia="zh-CN" w:bidi="ar-SA"/>
        </w:rPr>
        <w:t>后报送</w:t>
      </w:r>
      <w:r>
        <w:rPr>
          <w:rFonts w:hint="default" w:ascii="Times New Roman" w:hAnsi="Times New Roman" w:eastAsia="仿宋_GB2312" w:cs="Times New Roman"/>
          <w:b w:val="0"/>
          <w:bCs w:val="0"/>
          <w:color w:val="000000"/>
          <w:kern w:val="2"/>
          <w:sz w:val="32"/>
          <w:szCs w:val="32"/>
          <w:lang w:val="en-US" w:eastAsia="zh-CN" w:bidi="ar-SA"/>
        </w:rPr>
        <w:t>区司法局进行合法性审查，合法性审查时间一般不少于7个工作日，经区司法局审查同意后报送</w:t>
      </w:r>
      <w:r>
        <w:rPr>
          <w:rFonts w:hint="eastAsia" w:eastAsia="仿宋_GB2312" w:cs="Times New Roman"/>
          <w:b w:val="0"/>
          <w:bCs w:val="0"/>
          <w:color w:val="000000"/>
          <w:kern w:val="2"/>
          <w:sz w:val="32"/>
          <w:szCs w:val="32"/>
          <w:lang w:val="en-US" w:eastAsia="zh-CN" w:bidi="ar-SA"/>
        </w:rPr>
        <w:t>区政府</w:t>
      </w:r>
      <w:r>
        <w:rPr>
          <w:rFonts w:hint="default" w:ascii="Times New Roman" w:hAnsi="Times New Roman" w:eastAsia="仿宋_GB2312" w:cs="Times New Roman"/>
          <w:b w:val="0"/>
          <w:bCs w:val="0"/>
          <w:color w:val="000000"/>
          <w:kern w:val="2"/>
          <w:sz w:val="32"/>
          <w:szCs w:val="32"/>
          <w:lang w:val="en-US" w:eastAsia="zh-CN" w:bidi="ar-SA"/>
        </w:rPr>
        <w:t>集体讨论决定。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五、决策承办单位负责重大行政决策提请会议审议前相关材料的收集和整理，在重大行政决策作出后30日内向</w:t>
      </w:r>
      <w:r>
        <w:rPr>
          <w:rFonts w:hint="eastAsia" w:eastAsia="仿宋_GB2312" w:cs="Times New Roman"/>
          <w:b w:val="0"/>
          <w:bCs w:val="0"/>
          <w:color w:val="000000"/>
          <w:kern w:val="2"/>
          <w:sz w:val="32"/>
          <w:szCs w:val="32"/>
          <w:lang w:val="en-US" w:eastAsia="zh-CN" w:bidi="ar-SA"/>
        </w:rPr>
        <w:t>区政府</w:t>
      </w:r>
      <w:r>
        <w:rPr>
          <w:rFonts w:hint="default" w:ascii="Times New Roman" w:hAnsi="Times New Roman" w:eastAsia="仿宋_GB2312" w:cs="Times New Roman"/>
          <w:b w:val="0"/>
          <w:bCs w:val="0"/>
          <w:color w:val="000000"/>
          <w:kern w:val="2"/>
          <w:sz w:val="32"/>
          <w:szCs w:val="32"/>
          <w:lang w:val="en-US" w:eastAsia="zh-CN" w:bidi="ar-SA"/>
        </w:rPr>
        <w:t>办公室移交卷宗材料。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 xml:space="preserve">                      天津市蓟州区人民政府办公室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 xml:space="preserve">                        202</w:t>
      </w:r>
      <w:r>
        <w:rPr>
          <w:rFonts w:hint="eastAsia" w:eastAsia="仿宋_GB2312" w:cs="Times New Roman"/>
          <w:b w:val="0"/>
          <w:bCs w:val="0"/>
          <w:color w:val="000000"/>
          <w:kern w:val="2"/>
          <w:sz w:val="32"/>
          <w:szCs w:val="32"/>
          <w:lang w:val="en-US" w:eastAsia="zh-CN" w:bidi="ar-SA"/>
        </w:rPr>
        <w:t>3</w:t>
      </w:r>
      <w:r>
        <w:rPr>
          <w:rFonts w:hint="default" w:ascii="Times New Roman" w:hAnsi="Times New Roman" w:eastAsia="仿宋_GB2312" w:cs="Times New Roman"/>
          <w:b w:val="0"/>
          <w:bCs w:val="0"/>
          <w:color w:val="000000"/>
          <w:kern w:val="2"/>
          <w:sz w:val="32"/>
          <w:szCs w:val="32"/>
          <w:lang w:val="en-US" w:eastAsia="zh-CN" w:bidi="ar-SA"/>
        </w:rPr>
        <w:t>年</w:t>
      </w:r>
      <w:r>
        <w:rPr>
          <w:rFonts w:hint="eastAsia" w:eastAsia="仿宋_GB2312" w:cs="Times New Roman"/>
          <w:b w:val="0"/>
          <w:bCs w:val="0"/>
          <w:color w:val="000000"/>
          <w:kern w:val="2"/>
          <w:sz w:val="32"/>
          <w:szCs w:val="32"/>
          <w:lang w:val="en-US" w:eastAsia="zh-CN" w:bidi="ar-SA"/>
        </w:rPr>
        <w:t>4</w:t>
      </w:r>
      <w:r>
        <w:rPr>
          <w:rFonts w:hint="default" w:ascii="Times New Roman" w:hAnsi="Times New Roman" w:eastAsia="仿宋_GB2312" w:cs="Times New Roman"/>
          <w:b w:val="0"/>
          <w:bCs w:val="0"/>
          <w:color w:val="000000"/>
          <w:kern w:val="2"/>
          <w:sz w:val="32"/>
          <w:szCs w:val="32"/>
          <w:lang w:val="en-US" w:eastAsia="zh-CN" w:bidi="ar-SA"/>
        </w:rPr>
        <w:t>月</w:t>
      </w:r>
      <w:r>
        <w:rPr>
          <w:rFonts w:hint="eastAsia" w:eastAsia="仿宋_GB2312" w:cs="Times New Roman"/>
          <w:b w:val="0"/>
          <w:bCs w:val="0"/>
          <w:color w:val="000000"/>
          <w:kern w:val="2"/>
          <w:sz w:val="32"/>
          <w:szCs w:val="32"/>
          <w:lang w:val="en-US" w:eastAsia="zh-CN" w:bidi="ar-SA"/>
        </w:rPr>
        <w:t>18</w:t>
      </w:r>
      <w:r>
        <w:rPr>
          <w:rFonts w:hint="default" w:ascii="Times New Roman" w:hAnsi="Times New Roman" w:eastAsia="仿宋_GB2312" w:cs="Times New Roman"/>
          <w:b w:val="0"/>
          <w:bCs w:val="0"/>
          <w:color w:val="000000"/>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b w:val="0"/>
          <w:bCs w:val="0"/>
          <w:color w:val="000000"/>
          <w:kern w:val="2"/>
          <w:sz w:val="32"/>
          <w:szCs w:val="32"/>
          <w:lang w:val="en-US" w:eastAsia="zh-CN" w:bidi="ar-SA"/>
        </w:rPr>
        <w:t>此件主动公开</w:t>
      </w:r>
      <w:r>
        <w:rPr>
          <w:rFonts w:hint="eastAsia" w:ascii="Times New Roman" w:hAnsi="Times New Roman" w:eastAsia="仿宋_GB2312" w:cs="Times New Roman"/>
          <w:b w:val="0"/>
          <w:bCs w:val="0"/>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pStyle w:val="2"/>
        <w:rPr>
          <w:rFonts w:hint="default" w:ascii="Times New Roman" w:hAnsi="Times New Roman" w:eastAsia="仿宋_GB2312" w:cs="Times New Roman"/>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蓟州区人民政府</w:t>
      </w:r>
      <w:r>
        <w:rPr>
          <w:rFonts w:hint="default" w:ascii="Times New Roman" w:hAnsi="Times New Roman" w:eastAsia="方正小标宋简体" w:cs="Times New Roman"/>
          <w:b w:val="0"/>
          <w:bCs w:val="0"/>
          <w:sz w:val="44"/>
          <w:szCs w:val="44"/>
          <w:lang w:val="en-US" w:eastAsia="zh-CN"/>
        </w:rPr>
        <w:t>202</w:t>
      </w:r>
      <w:r>
        <w:rPr>
          <w:rFonts w:hint="eastAsia" w:eastAsia="方正小标宋简体" w:cs="Times New Roman"/>
          <w:b w:val="0"/>
          <w:bCs w:val="0"/>
          <w:sz w:val="44"/>
          <w:szCs w:val="44"/>
          <w:lang w:val="en-US" w:eastAsia="zh-CN"/>
        </w:rPr>
        <w:t>3</w:t>
      </w:r>
      <w:r>
        <w:rPr>
          <w:rFonts w:hint="eastAsia" w:ascii="方正小标宋简体" w:hAnsi="方正小标宋简体" w:eastAsia="方正小标宋简体" w:cs="方正小标宋简体"/>
          <w:b w:val="0"/>
          <w:bCs w:val="0"/>
          <w:sz w:val="44"/>
          <w:szCs w:val="44"/>
          <w:lang w:val="en-US" w:eastAsia="zh-CN"/>
        </w:rPr>
        <w:t>年度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重大行政决策事项目录</w:t>
      </w:r>
    </w:p>
    <w:p>
      <w:pPr>
        <w:pStyle w:val="10"/>
        <w:rPr>
          <w:rFonts w:hint="default" w:ascii="Times New Roman" w:hAnsi="Times New Roman" w:eastAsia="仿宋_GB2312" w:cs="Times New Roman"/>
          <w:b w:val="0"/>
          <w:bCs w:val="0"/>
          <w:snapToGrid w:val="0"/>
          <w:spacing w:val="0"/>
          <w:kern w:val="0"/>
          <w:sz w:val="32"/>
          <w:szCs w:val="32"/>
          <w:u w:val="thick"/>
        </w:rPr>
      </w:pPr>
    </w:p>
    <w:tbl>
      <w:tblPr>
        <w:tblStyle w:val="7"/>
        <w:tblpPr w:leftFromText="180" w:rightFromText="180" w:vertAnchor="page" w:horzAnchor="page" w:tblpX="1961" w:tblpY="38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3514"/>
        <w:gridCol w:w="2237"/>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25" w:type="dxa"/>
            <w:noWrap w:val="0"/>
            <w:vAlign w:val="center"/>
          </w:tcPr>
          <w:p>
            <w:pPr>
              <w:spacing w:after="0" w:line="240" w:lineRule="auto"/>
              <w:ind w:left="0" w:leftChars="0" w:right="0" w:rightChars="0" w:firstLine="0" w:firstLineChars="0"/>
              <w:jc w:val="center"/>
              <w:rPr>
                <w:rFonts w:hint="eastAsia" w:ascii="黑体" w:hAnsi="黑体" w:eastAsia="黑体" w:cs="黑体"/>
                <w:b/>
                <w:bCs/>
                <w:sz w:val="32"/>
                <w:szCs w:val="32"/>
                <w:vertAlign w:val="baseline"/>
                <w:lang w:eastAsia="zh-CN"/>
              </w:rPr>
            </w:pPr>
            <w:r>
              <w:rPr>
                <w:rFonts w:hint="eastAsia" w:ascii="黑体" w:hAnsi="黑体" w:eastAsia="黑体" w:cs="黑体"/>
                <w:b w:val="0"/>
                <w:bCs w:val="0"/>
                <w:sz w:val="32"/>
                <w:szCs w:val="32"/>
                <w:vertAlign w:val="baseline"/>
                <w:lang w:eastAsia="zh-CN"/>
              </w:rPr>
              <w:t>序号</w:t>
            </w:r>
          </w:p>
        </w:tc>
        <w:tc>
          <w:tcPr>
            <w:tcW w:w="3514" w:type="dxa"/>
            <w:noWrap w:val="0"/>
            <w:vAlign w:val="center"/>
          </w:tcPr>
          <w:p>
            <w:pPr>
              <w:spacing w:after="0" w:line="240" w:lineRule="auto"/>
              <w:ind w:left="0" w:leftChars="0" w:right="0" w:rightChars="0" w:firstLine="0" w:firstLineChars="0"/>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kern w:val="0"/>
                <w:sz w:val="32"/>
                <w:szCs w:val="32"/>
              </w:rPr>
              <w:t>决策事项</w:t>
            </w:r>
            <w:r>
              <w:rPr>
                <w:rFonts w:hint="eastAsia" w:ascii="黑体" w:hAnsi="黑体" w:eastAsia="黑体" w:cs="黑体"/>
                <w:b w:val="0"/>
                <w:bCs w:val="0"/>
                <w:sz w:val="32"/>
                <w:szCs w:val="32"/>
                <w:vertAlign w:val="baseline"/>
                <w:lang w:eastAsia="zh-CN"/>
              </w:rPr>
              <w:t>名称</w:t>
            </w:r>
          </w:p>
        </w:tc>
        <w:tc>
          <w:tcPr>
            <w:tcW w:w="2237" w:type="dxa"/>
            <w:noWrap w:val="0"/>
            <w:vAlign w:val="center"/>
          </w:tcPr>
          <w:p>
            <w:pPr>
              <w:spacing w:after="0" w:line="240" w:lineRule="auto"/>
              <w:ind w:left="0" w:leftChars="0" w:right="0" w:rightChars="0" w:firstLine="0" w:firstLineChars="0"/>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承办单位</w:t>
            </w:r>
          </w:p>
        </w:tc>
        <w:tc>
          <w:tcPr>
            <w:tcW w:w="1584" w:type="dxa"/>
            <w:noWrap w:val="0"/>
            <w:vAlign w:val="center"/>
          </w:tcPr>
          <w:p>
            <w:pPr>
              <w:spacing w:after="0" w:line="240" w:lineRule="auto"/>
              <w:ind w:left="0" w:leftChars="0" w:right="0" w:rightChars="0" w:firstLine="0" w:firstLineChars="0"/>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25" w:type="dxa"/>
            <w:noWrap w:val="0"/>
            <w:vAlign w:val="center"/>
          </w:tcPr>
          <w:p>
            <w:pPr>
              <w:spacing w:after="0" w:line="240" w:lineRule="auto"/>
              <w:ind w:left="0" w:leftChars="0" w:right="0" w:rightChars="0" w:firstLine="0" w:firstLineChars="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1</w:t>
            </w:r>
          </w:p>
        </w:tc>
        <w:tc>
          <w:tcPr>
            <w:tcW w:w="3514" w:type="dxa"/>
            <w:noWrap w:val="0"/>
            <w:vAlign w:val="center"/>
          </w:tcPr>
          <w:p>
            <w:pPr>
              <w:spacing w:after="0" w:line="240" w:lineRule="auto"/>
              <w:ind w:left="0" w:leftChars="0" w:right="0" w:rightChars="0" w:firstLine="0" w:firstLineChars="0"/>
              <w:jc w:val="center"/>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蓟州区文化设施布局</w:t>
            </w:r>
          </w:p>
          <w:p>
            <w:pPr>
              <w:spacing w:after="0" w:line="240" w:lineRule="auto"/>
              <w:ind w:left="0" w:leftChars="0" w:right="0" w:rightChars="0" w:firstLine="0" w:firstLineChars="0"/>
              <w:jc w:val="center"/>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b w:val="0"/>
                <w:bCs w:val="0"/>
                <w:sz w:val="32"/>
                <w:szCs w:val="32"/>
                <w:lang w:val="en-US" w:eastAsia="zh-CN"/>
              </w:rPr>
              <w:t>规划（2021—2035年）</w:t>
            </w:r>
          </w:p>
        </w:tc>
        <w:tc>
          <w:tcPr>
            <w:tcW w:w="2237" w:type="dxa"/>
            <w:noWrap w:val="0"/>
            <w:vAlign w:val="center"/>
          </w:tcPr>
          <w:p>
            <w:pPr>
              <w:spacing w:after="0" w:line="240" w:lineRule="auto"/>
              <w:ind w:left="0" w:leftChars="0" w:right="0" w:rightChars="0" w:firstLine="0" w:firstLineChars="0"/>
              <w:jc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区文化和</w:t>
            </w:r>
          </w:p>
          <w:p>
            <w:pPr>
              <w:spacing w:after="0" w:line="240" w:lineRule="auto"/>
              <w:ind w:left="0" w:leftChars="0" w:right="0" w:rightChars="0" w:firstLine="0" w:firstLineChars="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b w:val="0"/>
                <w:bCs w:val="0"/>
                <w:sz w:val="32"/>
                <w:szCs w:val="32"/>
                <w:lang w:val="en-US" w:eastAsia="zh-CN"/>
              </w:rPr>
              <w:t>旅游局</w:t>
            </w:r>
          </w:p>
        </w:tc>
        <w:tc>
          <w:tcPr>
            <w:tcW w:w="1584" w:type="dxa"/>
            <w:noWrap w:val="0"/>
            <w:vAlign w:val="center"/>
          </w:tcPr>
          <w:p>
            <w:pPr>
              <w:spacing w:after="0" w:line="240" w:lineRule="auto"/>
              <w:ind w:left="0" w:leftChars="0" w:right="0" w:rightChars="0" w:firstLine="0" w:firstLineChars="0"/>
              <w:jc w:val="center"/>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kern w:val="2"/>
                <w:sz w:val="32"/>
                <w:szCs w:val="32"/>
                <w:vertAlign w:val="baseline"/>
                <w:lang w:val="en-US" w:eastAsia="zh-CN" w:bidi="ar-SA"/>
              </w:rPr>
              <w:t>202</w:t>
            </w:r>
            <w:r>
              <w:rPr>
                <w:rFonts w:hint="eastAsia" w:eastAsia="仿宋_GB2312" w:cs="Times New Roman"/>
                <w:kern w:val="2"/>
                <w:sz w:val="32"/>
                <w:szCs w:val="32"/>
                <w:vertAlign w:val="baseline"/>
                <w:lang w:val="en-US" w:eastAsia="zh-CN" w:bidi="ar-SA"/>
              </w:rPr>
              <w:t>3</w:t>
            </w:r>
            <w:r>
              <w:rPr>
                <w:rFonts w:hint="eastAsia" w:ascii="Times New Roman" w:hAnsi="Times New Roman" w:eastAsia="仿宋_GB2312" w:cs="Times New Roman"/>
                <w:kern w:val="2"/>
                <w:sz w:val="32"/>
                <w:szCs w:val="32"/>
                <w:vertAlign w:val="baseline"/>
                <w:lang w:val="en-US" w:eastAsia="zh-CN" w:bidi="ar-SA"/>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25" w:type="dxa"/>
            <w:noWrap w:val="0"/>
            <w:vAlign w:val="center"/>
          </w:tcPr>
          <w:p>
            <w:pPr>
              <w:spacing w:after="0" w:line="240" w:lineRule="auto"/>
              <w:ind w:left="0" w:leftChars="0" w:right="0" w:rightChars="0" w:firstLine="0" w:firstLineChars="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w:t>
            </w:r>
          </w:p>
        </w:tc>
        <w:tc>
          <w:tcPr>
            <w:tcW w:w="3514" w:type="dxa"/>
            <w:noWrap w:val="0"/>
            <w:vAlign w:val="center"/>
          </w:tcPr>
          <w:p>
            <w:pPr>
              <w:spacing w:after="0" w:line="240" w:lineRule="auto"/>
              <w:ind w:left="0" w:leftChars="0" w:right="0" w:rightChars="0" w:firstLine="0" w:firstLineChars="0"/>
              <w:jc w:val="center"/>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蓟州区城市绿地系统</w:t>
            </w:r>
          </w:p>
          <w:p>
            <w:pPr>
              <w:spacing w:after="0" w:line="240" w:lineRule="auto"/>
              <w:ind w:left="0" w:leftChars="0" w:right="0" w:rightChars="0" w:firstLine="0" w:firstLineChars="0"/>
              <w:jc w:val="center"/>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b w:val="0"/>
                <w:bCs w:val="0"/>
                <w:sz w:val="32"/>
                <w:szCs w:val="32"/>
                <w:lang w:val="en-US" w:eastAsia="zh-CN"/>
              </w:rPr>
              <w:t>规划</w:t>
            </w:r>
          </w:p>
        </w:tc>
        <w:tc>
          <w:tcPr>
            <w:tcW w:w="2237" w:type="dxa"/>
            <w:noWrap w:val="0"/>
            <w:vAlign w:val="center"/>
          </w:tcPr>
          <w:p>
            <w:pPr>
              <w:spacing w:after="0" w:line="240" w:lineRule="auto"/>
              <w:ind w:left="0" w:leftChars="0" w:right="0" w:rightChars="0" w:firstLine="0" w:firstLineChars="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b w:val="0"/>
                <w:bCs w:val="0"/>
                <w:sz w:val="32"/>
                <w:szCs w:val="32"/>
                <w:lang w:val="en-US" w:eastAsia="zh-CN"/>
              </w:rPr>
              <w:t>区城市管理委</w:t>
            </w:r>
          </w:p>
        </w:tc>
        <w:tc>
          <w:tcPr>
            <w:tcW w:w="1584" w:type="dxa"/>
            <w:noWrap w:val="0"/>
            <w:vAlign w:val="center"/>
          </w:tcPr>
          <w:p>
            <w:pPr>
              <w:spacing w:after="0" w:line="240" w:lineRule="auto"/>
              <w:ind w:left="0" w:leftChars="0" w:right="0" w:rightChars="0" w:firstLine="0" w:firstLineChars="0"/>
              <w:jc w:val="center"/>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202</w:t>
            </w:r>
            <w:r>
              <w:rPr>
                <w:rFonts w:hint="eastAsia" w:eastAsia="仿宋_GB2312" w:cs="Times New Roman"/>
                <w:kern w:val="2"/>
                <w:sz w:val="32"/>
                <w:szCs w:val="32"/>
                <w:vertAlign w:val="baseline"/>
                <w:lang w:val="en-US" w:eastAsia="zh-CN" w:bidi="ar-SA"/>
              </w:rPr>
              <w:t>3</w:t>
            </w:r>
            <w:r>
              <w:rPr>
                <w:rFonts w:hint="default" w:ascii="Times New Roman" w:hAnsi="Times New Roman" w:eastAsia="仿宋_GB2312" w:cs="Times New Roman"/>
                <w:kern w:val="2"/>
                <w:sz w:val="32"/>
                <w:szCs w:val="32"/>
                <w:vertAlign w:val="baseline"/>
                <w:lang w:val="en-US" w:eastAsia="zh-CN" w:bidi="ar-SA"/>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25" w:type="dxa"/>
            <w:noWrap w:val="0"/>
            <w:vAlign w:val="center"/>
          </w:tcPr>
          <w:p>
            <w:pPr>
              <w:spacing w:after="0" w:line="240" w:lineRule="auto"/>
              <w:ind w:left="0" w:leftChars="0" w:right="0" w:rightChars="0" w:firstLine="0" w:firstLineChars="0"/>
              <w:jc w:val="center"/>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3</w:t>
            </w:r>
          </w:p>
        </w:tc>
        <w:tc>
          <w:tcPr>
            <w:tcW w:w="3514" w:type="dxa"/>
            <w:noWrap w:val="0"/>
            <w:vAlign w:val="center"/>
          </w:tcPr>
          <w:p>
            <w:pPr>
              <w:spacing w:after="0" w:line="240" w:lineRule="auto"/>
              <w:ind w:left="0" w:leftChars="0" w:right="0" w:rightChars="0" w:firstLine="0" w:firstLineChars="0"/>
              <w:jc w:val="center"/>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黄崖关长城风景名胜区入口服务区控制性</w:t>
            </w:r>
          </w:p>
          <w:p>
            <w:pPr>
              <w:spacing w:after="0" w:line="240" w:lineRule="auto"/>
              <w:ind w:left="0" w:leftChars="0" w:right="0" w:rightChars="0" w:firstLine="0" w:firstLineChars="0"/>
              <w:jc w:val="center"/>
              <w:rPr>
                <w:rFonts w:hint="default" w:ascii="Times New Roman" w:hAnsi="Times New Roman" w:eastAsia="仿宋_GB2312" w:cs="Times New Roman"/>
                <w:kern w:val="2"/>
                <w:sz w:val="32"/>
                <w:szCs w:val="32"/>
                <w:highlight w:val="none"/>
                <w:vertAlign w:val="baseline"/>
                <w:lang w:val="en-US" w:eastAsia="zh-CN" w:bidi="ar-SA"/>
              </w:rPr>
            </w:pPr>
            <w:r>
              <w:rPr>
                <w:rFonts w:hint="eastAsia" w:ascii="Times New Roman" w:hAnsi="Times New Roman" w:eastAsia="仿宋_GB2312" w:cs="Times New Roman"/>
                <w:b w:val="0"/>
                <w:bCs w:val="0"/>
                <w:sz w:val="32"/>
                <w:szCs w:val="32"/>
                <w:highlight w:val="none"/>
                <w:lang w:val="en-US" w:eastAsia="zh-CN"/>
              </w:rPr>
              <w:t>详细规划</w:t>
            </w:r>
          </w:p>
        </w:tc>
        <w:tc>
          <w:tcPr>
            <w:tcW w:w="2237" w:type="dxa"/>
            <w:noWrap w:val="0"/>
            <w:vAlign w:val="center"/>
          </w:tcPr>
          <w:p>
            <w:pPr>
              <w:spacing w:after="0" w:line="240" w:lineRule="auto"/>
              <w:ind w:left="0" w:leftChars="0" w:right="0" w:rightChars="0" w:firstLine="0" w:firstLineChars="0"/>
              <w:jc w:val="center"/>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盘山（长城）</w:t>
            </w:r>
          </w:p>
          <w:p>
            <w:pPr>
              <w:spacing w:after="0" w:line="240" w:lineRule="auto"/>
              <w:ind w:left="0" w:leftChars="0" w:right="0" w:rightChars="0" w:firstLine="0" w:firstLineChars="0"/>
              <w:jc w:val="center"/>
              <w:rPr>
                <w:rFonts w:hint="default" w:ascii="Times New Roman" w:hAnsi="Times New Roman" w:eastAsia="仿宋_GB2312" w:cs="Times New Roman"/>
                <w:kern w:val="2"/>
                <w:sz w:val="32"/>
                <w:szCs w:val="32"/>
                <w:highlight w:val="none"/>
                <w:vertAlign w:val="baseline"/>
                <w:lang w:val="en-US" w:eastAsia="zh-CN" w:bidi="ar-SA"/>
              </w:rPr>
            </w:pPr>
            <w:r>
              <w:rPr>
                <w:rFonts w:hint="default" w:ascii="Times New Roman" w:hAnsi="Times New Roman" w:eastAsia="仿宋_GB2312" w:cs="Times New Roman"/>
                <w:b w:val="0"/>
                <w:bCs w:val="0"/>
                <w:sz w:val="32"/>
                <w:szCs w:val="32"/>
                <w:highlight w:val="none"/>
                <w:lang w:val="en-US" w:eastAsia="zh-CN"/>
              </w:rPr>
              <w:t>管理服务中心</w:t>
            </w:r>
          </w:p>
        </w:tc>
        <w:tc>
          <w:tcPr>
            <w:tcW w:w="1584" w:type="dxa"/>
            <w:noWrap w:val="0"/>
            <w:vAlign w:val="center"/>
          </w:tcPr>
          <w:p>
            <w:pPr>
              <w:spacing w:after="0" w:line="240" w:lineRule="auto"/>
              <w:ind w:left="0" w:leftChars="0" w:right="0" w:rightChars="0" w:firstLine="0" w:firstLineChars="0"/>
              <w:jc w:val="center"/>
              <w:rPr>
                <w:rFonts w:hint="default" w:ascii="Times New Roman" w:hAnsi="Times New Roman" w:eastAsia="仿宋_GB2312" w:cs="Times New Roman"/>
                <w:kern w:val="2"/>
                <w:sz w:val="32"/>
                <w:szCs w:val="32"/>
                <w:highlight w:val="none"/>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202</w:t>
            </w:r>
            <w:r>
              <w:rPr>
                <w:rFonts w:hint="eastAsia" w:eastAsia="仿宋_GB2312" w:cs="Times New Roman"/>
                <w:kern w:val="2"/>
                <w:sz w:val="32"/>
                <w:szCs w:val="32"/>
                <w:vertAlign w:val="baseline"/>
                <w:lang w:val="en-US" w:eastAsia="zh-CN" w:bidi="ar-SA"/>
              </w:rPr>
              <w:t>3</w:t>
            </w:r>
            <w:r>
              <w:rPr>
                <w:rFonts w:hint="default" w:ascii="Times New Roman" w:hAnsi="Times New Roman" w:eastAsia="仿宋_GB2312" w:cs="Times New Roman"/>
                <w:kern w:val="2"/>
                <w:sz w:val="32"/>
                <w:szCs w:val="32"/>
                <w:vertAlign w:val="baseline"/>
                <w:lang w:val="en-US" w:eastAsia="zh-CN" w:bidi="ar-SA"/>
              </w:rPr>
              <w:t>年12月底前</w:t>
            </w:r>
          </w:p>
        </w:tc>
      </w:tr>
    </w:tbl>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pStyle w:val="10"/>
        <w:rPr>
          <w:rFonts w:hint="default" w:ascii="Times New Roman" w:hAnsi="Times New Roman" w:eastAsia="仿宋_GB2312" w:cs="Times New Roman"/>
          <w:b w:val="0"/>
          <w:bCs w:val="0"/>
          <w:snapToGrid w:val="0"/>
          <w:spacing w:val="0"/>
          <w:kern w:val="0"/>
          <w:sz w:val="32"/>
          <w:szCs w:val="32"/>
          <w:u w:val="thick"/>
        </w:rPr>
      </w:pPr>
    </w:p>
    <w:p>
      <w:pPr>
        <w:tabs>
          <w:tab w:val="left" w:pos="7560"/>
        </w:tabs>
        <w:spacing w:line="520" w:lineRule="exact"/>
        <w:jc w:val="both"/>
        <w:rPr>
          <w:rFonts w:hint="eastAsia" w:eastAsia="方正小标宋_GBK"/>
          <w:sz w:val="44"/>
          <w:szCs w:val="44"/>
        </w:rPr>
      </w:pPr>
      <w:bookmarkStart w:id="0" w:name="_GoBack"/>
      <w:bookmarkEnd w:id="0"/>
    </w:p>
    <w:sectPr>
      <w:footerReference r:id="rId3" w:type="default"/>
      <w:pgSz w:w="11906" w:h="16838"/>
      <w:pgMar w:top="2098" w:right="1474" w:bottom="1985" w:left="158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- 12 -</w:t>
    </w:r>
    <w:r>
      <w:rPr>
        <w:rStyle w:val="9"/>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B3"/>
    <w:rsid w:val="000911F0"/>
    <w:rsid w:val="000C3BFB"/>
    <w:rsid w:val="00122CB1"/>
    <w:rsid w:val="00197DE1"/>
    <w:rsid w:val="002A2955"/>
    <w:rsid w:val="002B1774"/>
    <w:rsid w:val="00362BB3"/>
    <w:rsid w:val="003D2C52"/>
    <w:rsid w:val="00507DE7"/>
    <w:rsid w:val="00534267"/>
    <w:rsid w:val="005A4663"/>
    <w:rsid w:val="005A7DC8"/>
    <w:rsid w:val="00823D10"/>
    <w:rsid w:val="00825A2D"/>
    <w:rsid w:val="00AA4C57"/>
    <w:rsid w:val="00AB07BF"/>
    <w:rsid w:val="00AE714A"/>
    <w:rsid w:val="00B77B7A"/>
    <w:rsid w:val="00BE6554"/>
    <w:rsid w:val="00F034A4"/>
    <w:rsid w:val="00F85D05"/>
    <w:rsid w:val="1A7F814E"/>
    <w:rsid w:val="1DED1CE3"/>
    <w:rsid w:val="3A552A8A"/>
    <w:rsid w:val="577F069C"/>
    <w:rsid w:val="5CFB9997"/>
    <w:rsid w:val="77F1E5A3"/>
    <w:rsid w:val="7F6C62C0"/>
    <w:rsid w:val="7FD534CC"/>
    <w:rsid w:val="8FFF58A4"/>
    <w:rsid w:val="BB9B50EE"/>
    <w:rsid w:val="F056543E"/>
    <w:rsid w:val="FF7F1BE5"/>
    <w:rsid w:val="FFF6D949"/>
    <w:rsid w:val="FFF7FB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qFormat="1" w:uiPriority="9"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next w:val="1"/>
    <w:unhideWhenUsed/>
    <w:qFormat/>
    <w:uiPriority w:val="9"/>
    <w:pPr>
      <w:keepNext/>
      <w:keepLines/>
      <w:widowControl w:val="0"/>
      <w:spacing w:before="240" w:after="64" w:line="320" w:lineRule="auto"/>
      <w:jc w:val="both"/>
      <w:outlineLvl w:val="5"/>
    </w:pPr>
    <w:rPr>
      <w:rFonts w:ascii="Cambria" w:hAnsi="Cambria" w:eastAsia="宋体" w:cs="Times New Roman"/>
      <w:b/>
      <w:bCs/>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qFormat/>
    <w:uiPriority w:val="99"/>
    <w:pPr>
      <w:widowControl w:val="0"/>
      <w:jc w:val="both"/>
    </w:pPr>
    <w:rPr>
      <w:rFonts w:ascii="宋体" w:hAnsi="宋体" w:eastAsia="宋体" w:cs="宋体"/>
      <w:kern w:val="2"/>
      <w:sz w:val="34"/>
      <w:szCs w:val="34"/>
      <w:lang w:val="zh-CN"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99"/>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无间隔1"/>
    <w:qFormat/>
    <w:uiPriority w:val="99"/>
    <w:pPr>
      <w:widowControl w:val="0"/>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Pages>
  <Words>713</Words>
  <Characters>4069</Characters>
  <Lines>33</Lines>
  <Paragraphs>9</Paragraphs>
  <TotalTime>45</TotalTime>
  <ScaleCrop>false</ScaleCrop>
  <LinksUpToDate>false</LinksUpToDate>
  <CharactersWithSpaces>4773</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2017-09-07T02:05:00Z</dcterms:created>
  <dc:creator>lenovo</dc:creator>
  <cp:lastModifiedBy>kylin</cp:lastModifiedBy>
  <cp:lastPrinted>2023-04-19T16:43:00Z</cp:lastPrinted>
  <dcterms:modified xsi:type="dcterms:W3CDTF">2023-04-23T09:53:53Z</dcterms:modified>
  <dc:title>天津市蓟州区人民政府办公室文件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