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after="0" w:line="520" w:lineRule="exact"/>
        <w:ind w:firstLine="883" w:firstLineChars="200"/>
        <w:jc w:val="both"/>
        <w:rPr>
          <w:rFonts w:hint="eastAsia" w:asciiTheme="majorEastAsia" w:hAnsiTheme="majorEastAsia" w:eastAsiaTheme="majorEastAsia"/>
          <w:b/>
          <w:bCs/>
          <w:sz w:val="44"/>
          <w:szCs w:val="44"/>
          <w:lang w:val="en-US" w:eastAsia="zh-CN"/>
        </w:rPr>
      </w:pPr>
      <w:bookmarkStart w:id="0" w:name="_GoBack"/>
      <w:r>
        <w:rPr>
          <w:rFonts w:hint="eastAsia" w:asciiTheme="majorEastAsia" w:hAnsiTheme="majorEastAsia" w:eastAsiaTheme="majorEastAsia"/>
          <w:b/>
          <w:bCs/>
          <w:sz w:val="44"/>
          <w:szCs w:val="44"/>
          <w:lang w:val="en-US" w:eastAsia="zh-CN"/>
        </w:rPr>
        <w:t>2023年预算绩效管理工作完成情况</w:t>
      </w:r>
    </w:p>
    <w:bookmarkEnd w:id="0"/>
    <w:p>
      <w:pPr>
        <w:numPr>
          <w:ilvl w:val="0"/>
          <w:numId w:val="0"/>
        </w:numPr>
        <w:spacing w:after="0" w:line="520" w:lineRule="exact"/>
        <w:ind w:firstLine="880" w:firstLineChars="200"/>
        <w:jc w:val="both"/>
        <w:rPr>
          <w:rFonts w:hint="eastAsia" w:asciiTheme="majorEastAsia" w:hAnsiTheme="majorEastAsia" w:eastAsiaTheme="majorEastAsia"/>
          <w:sz w:val="44"/>
          <w:szCs w:val="44"/>
          <w:lang w:val="en-US" w:eastAsia="zh-CN"/>
        </w:rPr>
      </w:pPr>
    </w:p>
    <w:p>
      <w:pPr>
        <w:numPr>
          <w:ilvl w:val="0"/>
          <w:numId w:val="0"/>
        </w:numPr>
        <w:spacing w:after="0" w:line="520" w:lineRule="exact"/>
        <w:ind w:firstLine="640" w:firstLineChars="200"/>
        <w:jc w:val="both"/>
        <w:rPr>
          <w:rFonts w:hint="eastAsia" w:asciiTheme="majorEastAsia" w:hAnsiTheme="majorEastAsia" w:eastAsiaTheme="majorEastAsia"/>
          <w:sz w:val="44"/>
          <w:szCs w:val="44"/>
          <w:lang w:val="en-US" w:eastAsia="zh-CN"/>
        </w:rPr>
      </w:pPr>
      <w:r>
        <w:rPr>
          <w:rFonts w:hint="eastAsia" w:ascii="仿宋_GB2312" w:hAnsi="仿宋_GB2312" w:eastAsia="仿宋_GB2312" w:cs="仿宋_GB2312"/>
          <w:sz w:val="32"/>
          <w:szCs w:val="32"/>
          <w:lang w:val="en-US" w:eastAsia="zh-CN"/>
        </w:rPr>
        <w:t>2023年我局着力以提升财政资金绩效为主线，以绩效目标实现为导向，以财政支出绩效评价为手段，以评价结果应用为保障，建立完善预算绩效管理体系，积极推进财政资金预算绩效管理工作，有关工作总结如下：</w:t>
      </w:r>
    </w:p>
    <w:p>
      <w:pPr>
        <w:numPr>
          <w:ilvl w:val="0"/>
          <w:numId w:val="0"/>
        </w:numPr>
        <w:spacing w:after="0" w:line="520" w:lineRule="exact"/>
        <w:ind w:firstLine="640" w:firstLineChars="200"/>
        <w:jc w:val="both"/>
        <w:rPr>
          <w:rFonts w:hint="eastAsia" w:ascii="仿宋" w:hAnsi="仿宋" w:eastAsia="仿宋"/>
          <w:bCs/>
          <w:sz w:val="32"/>
          <w:szCs w:val="32"/>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一</w:t>
      </w:r>
      <w:r>
        <w:rPr>
          <w:rFonts w:hint="eastAsia" w:ascii="仿宋" w:hAnsi="仿宋" w:eastAsia="仿宋"/>
          <w:bCs/>
          <w:sz w:val="32"/>
          <w:szCs w:val="32"/>
          <w:lang w:eastAsia="zh-CN"/>
        </w:rPr>
        <w:t>）</w:t>
      </w:r>
      <w:r>
        <w:rPr>
          <w:rFonts w:hint="eastAsia" w:ascii="仿宋" w:hAnsi="仿宋" w:eastAsia="仿宋"/>
          <w:bCs/>
          <w:sz w:val="32"/>
          <w:szCs w:val="32"/>
        </w:rPr>
        <w:t>进一步健全预算绩效管理制度和指标体系</w:t>
      </w:r>
    </w:p>
    <w:p>
      <w:pPr>
        <w:numPr>
          <w:ilvl w:val="0"/>
          <w:numId w:val="0"/>
        </w:numPr>
        <w:spacing w:after="0" w:line="520" w:lineRule="exact"/>
        <w:ind w:firstLine="640" w:firstLineChars="200"/>
        <w:jc w:val="both"/>
        <w:rPr>
          <w:rFonts w:hint="eastAsia" w:ascii="仿宋" w:hAnsi="仿宋" w:eastAsia="仿宋"/>
          <w:bCs/>
          <w:sz w:val="32"/>
          <w:szCs w:val="32"/>
        </w:rPr>
      </w:pPr>
      <w:r>
        <w:rPr>
          <w:rFonts w:hint="eastAsia" w:ascii="仿宋" w:hAnsi="仿宋" w:eastAsia="仿宋"/>
          <w:bCs/>
          <w:sz w:val="32"/>
          <w:szCs w:val="32"/>
        </w:rPr>
        <w:t>为牢固树立预算绩效管理意识，我局全面对标市绩效政策，</w:t>
      </w:r>
      <w:r>
        <w:rPr>
          <w:rFonts w:hint="eastAsia" w:ascii="仿宋" w:hAnsi="仿宋" w:eastAsia="仿宋"/>
          <w:bCs/>
          <w:sz w:val="32"/>
          <w:szCs w:val="32"/>
          <w:lang w:val="en-US" w:eastAsia="zh-CN"/>
        </w:rPr>
        <w:t>进一步完善</w:t>
      </w:r>
      <w:r>
        <w:rPr>
          <w:rFonts w:hint="eastAsia" w:ascii="仿宋" w:hAnsi="仿宋" w:eastAsia="仿宋"/>
          <w:bCs/>
          <w:sz w:val="32"/>
          <w:szCs w:val="32"/>
        </w:rPr>
        <w:t>《蓟州区全面实施预算绩效管理政策文件汇编》和《蓟州区预算绩效管理指标参考手册》。政策汇编囊括预算绩效事前绩效评估、绩效目标管理、绩效运行监控、绩效评价、绩效结果应用、绩效管理考核、第三方机构管理和财政内部工作规程等方面的配套制度文件。指标体系涵盖共性项目绩效指标体系18类，220条绩效指标，分行业分领域绩效指标体系涉及17个行业领域，2723条绩效指标。以上制度的建立，为绩效评价等工作顺利开展提供了坚实的政策依据。</w:t>
      </w:r>
    </w:p>
    <w:p>
      <w:pPr>
        <w:numPr>
          <w:ilvl w:val="0"/>
          <w:numId w:val="0"/>
        </w:numPr>
        <w:spacing w:after="0" w:line="520" w:lineRule="exact"/>
        <w:ind w:firstLine="640" w:firstLineChars="200"/>
        <w:jc w:val="both"/>
        <w:rPr>
          <w:rFonts w:hint="eastAsia" w:ascii="仿宋" w:hAnsi="仿宋" w:eastAsia="仿宋"/>
          <w:bCs/>
          <w:sz w:val="32"/>
          <w:szCs w:val="32"/>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二</w:t>
      </w:r>
      <w:r>
        <w:rPr>
          <w:rFonts w:hint="eastAsia" w:ascii="仿宋" w:hAnsi="仿宋" w:eastAsia="仿宋"/>
          <w:bCs/>
          <w:sz w:val="32"/>
          <w:szCs w:val="32"/>
          <w:lang w:eastAsia="zh-CN"/>
        </w:rPr>
        <w:t>）</w:t>
      </w:r>
      <w:r>
        <w:rPr>
          <w:rFonts w:hint="eastAsia" w:ascii="仿宋" w:hAnsi="仿宋" w:eastAsia="仿宋"/>
          <w:bCs/>
          <w:sz w:val="32"/>
          <w:szCs w:val="32"/>
        </w:rPr>
        <w:t>事前绩效评估步入经常化工作轨道</w:t>
      </w:r>
    </w:p>
    <w:p>
      <w:pPr>
        <w:spacing w:after="0" w:line="520" w:lineRule="exact"/>
        <w:ind w:firstLine="640" w:firstLineChars="200"/>
        <w:jc w:val="both"/>
        <w:rPr>
          <w:rFonts w:hint="eastAsia" w:ascii="仿宋" w:hAnsi="仿宋" w:eastAsia="仿宋"/>
          <w:sz w:val="32"/>
          <w:szCs w:val="32"/>
        </w:rPr>
      </w:pPr>
      <w:r>
        <w:rPr>
          <w:rFonts w:hint="eastAsia" w:ascii="仿宋" w:hAnsi="仿宋" w:eastAsia="仿宋"/>
          <w:bCs/>
          <w:sz w:val="32"/>
          <w:szCs w:val="32"/>
        </w:rPr>
        <w:t>我区事前绩效评估工作要求预算单位对所有纳入部门预算编制的新增支出项目，在编制绩效目标同时，全部进行事前绩效评估，并撰写有关报告。事前绩效评估达不到标准的，一律不予安排资金。同时区财政局</w:t>
      </w:r>
      <w:r>
        <w:rPr>
          <w:rFonts w:hint="eastAsia" w:ascii="仿宋" w:hAnsi="仿宋" w:eastAsia="仿宋"/>
          <w:bCs/>
          <w:sz w:val="32"/>
          <w:szCs w:val="32"/>
          <w:highlight w:val="none"/>
        </w:rPr>
        <w:t>对拟纳入202</w:t>
      </w:r>
      <w:r>
        <w:rPr>
          <w:rFonts w:hint="eastAsia" w:ascii="仿宋" w:hAnsi="仿宋" w:eastAsia="仿宋"/>
          <w:bCs/>
          <w:sz w:val="32"/>
          <w:szCs w:val="32"/>
          <w:highlight w:val="none"/>
          <w:lang w:val="en-US" w:eastAsia="zh-CN"/>
        </w:rPr>
        <w:t>4</w:t>
      </w:r>
      <w:r>
        <w:rPr>
          <w:rFonts w:hint="eastAsia" w:ascii="仿宋" w:hAnsi="仿宋" w:eastAsia="仿宋"/>
          <w:bCs/>
          <w:sz w:val="32"/>
          <w:szCs w:val="32"/>
          <w:highlight w:val="none"/>
        </w:rPr>
        <w:t>年预算的10个重点项目开展了政策和项目事前绩效评估，</w:t>
      </w:r>
      <w:r>
        <w:rPr>
          <w:rFonts w:hint="eastAsia" w:ascii="仿宋" w:hAnsi="仿宋" w:eastAsia="仿宋"/>
          <w:sz w:val="32"/>
          <w:szCs w:val="32"/>
        </w:rPr>
        <w:t>围绕立项必要性、投入经济性等5个维度进行综合分析研判。指导相关区级部门与评估工作组对接沟通,按照《事前绩效评估所需资料清单》 提交评估资料,对照评估意见建议,调整完善政策和项目管理,项目实际预算安排数原则上不得超过绩效评估建议数。</w:t>
      </w:r>
    </w:p>
    <w:p>
      <w:pPr>
        <w:spacing w:after="0" w:line="520" w:lineRule="exact"/>
        <w:ind w:firstLine="640" w:firstLineChars="200"/>
        <w:jc w:val="both"/>
        <w:rPr>
          <w:rFonts w:hint="eastAsia" w:ascii="仿宋" w:hAnsi="仿宋" w:eastAsia="仿宋"/>
          <w:bCs/>
          <w:sz w:val="32"/>
          <w:szCs w:val="32"/>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三</w:t>
      </w:r>
      <w:r>
        <w:rPr>
          <w:rFonts w:hint="eastAsia" w:ascii="仿宋" w:hAnsi="仿宋" w:eastAsia="仿宋"/>
          <w:bCs/>
          <w:sz w:val="32"/>
          <w:szCs w:val="32"/>
          <w:lang w:eastAsia="zh-CN"/>
        </w:rPr>
        <w:t>）</w:t>
      </w:r>
      <w:r>
        <w:rPr>
          <w:rFonts w:hint="eastAsia" w:ascii="仿宋" w:hAnsi="仿宋" w:eastAsia="仿宋"/>
          <w:bCs/>
          <w:sz w:val="32"/>
          <w:szCs w:val="32"/>
        </w:rPr>
        <w:t>全面实施绩效目标编制与公开工作。根据市局绩效处202</w:t>
      </w:r>
      <w:r>
        <w:rPr>
          <w:rFonts w:hint="eastAsia" w:ascii="仿宋" w:hAnsi="仿宋" w:eastAsia="仿宋"/>
          <w:bCs/>
          <w:sz w:val="32"/>
          <w:szCs w:val="32"/>
          <w:lang w:val="en-US" w:eastAsia="zh-CN"/>
        </w:rPr>
        <w:t>3</w:t>
      </w:r>
      <w:r>
        <w:rPr>
          <w:rFonts w:hint="eastAsia" w:ascii="仿宋" w:hAnsi="仿宋" w:eastAsia="仿宋"/>
          <w:bCs/>
          <w:sz w:val="32"/>
          <w:szCs w:val="32"/>
        </w:rPr>
        <w:t>年重点工作安排，对202</w:t>
      </w:r>
      <w:r>
        <w:rPr>
          <w:rFonts w:hint="eastAsia" w:ascii="仿宋" w:hAnsi="仿宋" w:eastAsia="仿宋"/>
          <w:bCs/>
          <w:sz w:val="32"/>
          <w:szCs w:val="32"/>
          <w:lang w:val="en-US" w:eastAsia="zh-CN"/>
        </w:rPr>
        <w:t>3</w:t>
      </w:r>
      <w:r>
        <w:rPr>
          <w:rFonts w:hint="eastAsia" w:ascii="仿宋" w:hAnsi="仿宋" w:eastAsia="仿宋"/>
          <w:bCs/>
          <w:sz w:val="32"/>
          <w:szCs w:val="32"/>
        </w:rPr>
        <w:t>年度部门预算项目支出绩效目标编制和信息公开工作进行了全面安排，本着确保质量的原则，对绩效目标公开模板、公开网站、公开时间和公开方式等要素做了统一规定。经各预算单位共同努力，本次工作共完成一般公共预算、政府性基金预算等四本预算1</w:t>
      </w:r>
      <w:r>
        <w:rPr>
          <w:rFonts w:hint="eastAsia" w:ascii="仿宋" w:hAnsi="仿宋" w:eastAsia="仿宋"/>
          <w:bCs/>
          <w:sz w:val="32"/>
          <w:szCs w:val="32"/>
          <w:lang w:val="en-US" w:eastAsia="zh-CN"/>
        </w:rPr>
        <w:t>247</w:t>
      </w:r>
      <w:r>
        <w:rPr>
          <w:rFonts w:hint="eastAsia" w:ascii="仿宋" w:hAnsi="仿宋" w:eastAsia="仿宋"/>
          <w:bCs/>
          <w:sz w:val="32"/>
          <w:szCs w:val="32"/>
        </w:rPr>
        <w:t>个项目，项目资金</w:t>
      </w:r>
      <w:r>
        <w:rPr>
          <w:rFonts w:hint="eastAsia" w:ascii="仿宋" w:hAnsi="仿宋" w:eastAsia="仿宋"/>
          <w:bCs/>
          <w:sz w:val="32"/>
          <w:szCs w:val="32"/>
          <w:lang w:val="en-US" w:eastAsia="zh-CN"/>
        </w:rPr>
        <w:t>50.43</w:t>
      </w:r>
      <w:r>
        <w:rPr>
          <w:rFonts w:hint="eastAsia" w:ascii="仿宋" w:hAnsi="仿宋" w:eastAsia="仿宋"/>
          <w:bCs/>
          <w:sz w:val="32"/>
          <w:szCs w:val="32"/>
        </w:rPr>
        <w:t>亿元，</w:t>
      </w:r>
      <w:r>
        <w:rPr>
          <w:rFonts w:hint="eastAsia" w:ascii="仿宋" w:hAnsi="仿宋" w:eastAsia="仿宋"/>
          <w:bCs/>
          <w:sz w:val="32"/>
          <w:szCs w:val="32"/>
          <w:lang w:val="en-US" w:eastAsia="zh-CN"/>
        </w:rPr>
        <w:t>并在</w:t>
      </w:r>
      <w:r>
        <w:rPr>
          <w:rFonts w:hint="eastAsia" w:ascii="仿宋" w:hAnsi="仿宋" w:eastAsia="仿宋"/>
          <w:bCs/>
          <w:sz w:val="32"/>
          <w:szCs w:val="32"/>
        </w:rPr>
        <w:t>蓟州区政府网站和单位自有网站进行公开。</w:t>
      </w:r>
    </w:p>
    <w:p>
      <w:pPr>
        <w:spacing w:after="0" w:line="520" w:lineRule="exact"/>
        <w:ind w:firstLine="640" w:firstLineChars="200"/>
        <w:jc w:val="both"/>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开展202</w:t>
      </w:r>
      <w:r>
        <w:rPr>
          <w:rFonts w:hint="eastAsia" w:ascii="仿宋" w:hAnsi="仿宋" w:eastAsia="仿宋"/>
          <w:sz w:val="32"/>
          <w:szCs w:val="32"/>
          <w:lang w:val="en-US" w:eastAsia="zh-CN"/>
        </w:rPr>
        <w:t>3</w:t>
      </w:r>
      <w:r>
        <w:rPr>
          <w:rFonts w:hint="eastAsia" w:ascii="仿宋" w:hAnsi="仿宋" w:eastAsia="仿宋"/>
          <w:sz w:val="32"/>
          <w:szCs w:val="32"/>
        </w:rPr>
        <w:t>年度项目支出绩效运行监控工作。按照《天津市蓟州区预算绩效运行监控管理暂行办法》(津财绩效〔2021〕27号)要求,指导各预算部门要根据本部门实际情况定期开展日常监控并配合财政部门开展重点监控。10月集中对 202</w:t>
      </w:r>
      <w:r>
        <w:rPr>
          <w:rFonts w:hint="eastAsia" w:ascii="仿宋" w:hAnsi="仿宋" w:eastAsia="仿宋"/>
          <w:sz w:val="32"/>
          <w:szCs w:val="32"/>
          <w:lang w:val="en-US" w:eastAsia="zh-CN"/>
        </w:rPr>
        <w:t>3</w:t>
      </w:r>
      <w:r>
        <w:rPr>
          <w:rFonts w:hint="eastAsia" w:ascii="仿宋" w:hAnsi="仿宋" w:eastAsia="仿宋"/>
          <w:sz w:val="32"/>
          <w:szCs w:val="32"/>
        </w:rPr>
        <w:t>年度项目1-9月预算执行情况和绩效目标实现程度开展一次绩效监控汇总分析,预算执行单位在分析绩效监控信息的基础上填写《项目支出绩效目标执行监控表》和《项目支出绩效目标执行监控汇总表》</w:t>
      </w:r>
      <w:r>
        <w:rPr>
          <w:rFonts w:hint="eastAsia" w:ascii="仿宋" w:hAnsi="仿宋" w:eastAsia="仿宋"/>
          <w:sz w:val="32"/>
          <w:szCs w:val="32"/>
          <w:lang w:eastAsia="zh-CN"/>
        </w:rPr>
        <w:t>，</w:t>
      </w:r>
      <w:r>
        <w:rPr>
          <w:rFonts w:hint="eastAsia" w:ascii="仿宋" w:hAnsi="仿宋" w:eastAsia="仿宋"/>
          <w:bCs/>
          <w:sz w:val="32"/>
          <w:szCs w:val="32"/>
        </w:rPr>
        <w:t>此次纳入预算绩效监控范围的项目</w:t>
      </w:r>
      <w:r>
        <w:rPr>
          <w:rFonts w:hint="eastAsia" w:ascii="仿宋" w:hAnsi="仿宋" w:eastAsia="仿宋"/>
          <w:bCs/>
          <w:sz w:val="32"/>
          <w:szCs w:val="32"/>
          <w:lang w:val="en-US" w:eastAsia="zh-CN"/>
        </w:rPr>
        <w:t>1247</w:t>
      </w:r>
      <w:r>
        <w:rPr>
          <w:rFonts w:hint="eastAsia" w:ascii="仿宋" w:hAnsi="仿宋" w:eastAsia="仿宋"/>
          <w:bCs/>
          <w:sz w:val="32"/>
          <w:szCs w:val="32"/>
        </w:rPr>
        <w:t>个，涉及项目资金</w:t>
      </w:r>
      <w:r>
        <w:rPr>
          <w:rFonts w:hint="eastAsia" w:ascii="仿宋" w:hAnsi="仿宋" w:eastAsia="仿宋"/>
          <w:bCs/>
          <w:sz w:val="32"/>
          <w:szCs w:val="32"/>
          <w:lang w:val="en-US" w:eastAsia="zh-CN"/>
        </w:rPr>
        <w:t>48.27亿</w:t>
      </w:r>
      <w:r>
        <w:rPr>
          <w:rFonts w:hint="eastAsia" w:ascii="仿宋" w:hAnsi="仿宋" w:eastAsia="仿宋"/>
          <w:bCs/>
          <w:sz w:val="32"/>
          <w:szCs w:val="32"/>
        </w:rPr>
        <w:t>元。</w:t>
      </w:r>
    </w:p>
    <w:p>
      <w:pPr>
        <w:numPr>
          <w:ilvl w:val="0"/>
          <w:numId w:val="0"/>
        </w:numPr>
        <w:spacing w:after="0" w:line="520" w:lineRule="exact"/>
        <w:ind w:firstLine="640" w:firstLineChars="200"/>
        <w:jc w:val="both"/>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五</w:t>
      </w:r>
      <w:r>
        <w:rPr>
          <w:rFonts w:hint="eastAsia" w:ascii="仿宋" w:hAnsi="仿宋" w:eastAsia="仿宋"/>
          <w:sz w:val="32"/>
          <w:szCs w:val="32"/>
          <w:lang w:eastAsia="zh-CN"/>
        </w:rPr>
        <w:t>）</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年度项目支出绩效目标编制工作。按照《天津市蓟州区部门预算绩效目标管理办法》(蓟财政发〔2021〕31号)要求,组织各预算部门要组织本部门及所属单位开展202</w:t>
      </w:r>
      <w:r>
        <w:rPr>
          <w:rFonts w:hint="eastAsia" w:ascii="仿宋" w:hAnsi="仿宋" w:eastAsia="仿宋"/>
          <w:sz w:val="32"/>
          <w:szCs w:val="32"/>
          <w:lang w:val="en-US" w:eastAsia="zh-CN"/>
        </w:rPr>
        <w:t>4</w:t>
      </w:r>
      <w:r>
        <w:rPr>
          <w:rFonts w:hint="eastAsia" w:ascii="仿宋" w:hAnsi="仿宋" w:eastAsia="仿宋"/>
          <w:sz w:val="32"/>
          <w:szCs w:val="32"/>
        </w:rPr>
        <w:t>年度项目支出绩效目标编制、审核、汇总上报,绩效目标于10月底前随预算申请同步报送区财政局归口业务科室审核。预算批复后,各预算部门要将非涉密项目绩效目标随预算同步在本部门门户网站和预决算公开统一平台上同步向社会公开。</w:t>
      </w:r>
    </w:p>
    <w:p>
      <w:pPr>
        <w:numPr>
          <w:ilvl w:val="0"/>
          <w:numId w:val="0"/>
        </w:numPr>
        <w:spacing w:after="0" w:line="520" w:lineRule="exact"/>
        <w:ind w:firstLine="640" w:firstLineChars="200"/>
        <w:jc w:val="both"/>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六</w:t>
      </w:r>
      <w:r>
        <w:rPr>
          <w:rFonts w:hint="eastAsia" w:ascii="仿宋" w:hAnsi="仿宋" w:eastAsia="仿宋"/>
          <w:sz w:val="32"/>
          <w:szCs w:val="32"/>
          <w:lang w:eastAsia="zh-CN"/>
        </w:rPr>
        <w:t>）</w:t>
      </w:r>
      <w:r>
        <w:rPr>
          <w:rFonts w:hint="eastAsia" w:ascii="仿宋" w:hAnsi="仿宋" w:eastAsia="仿宋"/>
          <w:sz w:val="32"/>
          <w:szCs w:val="32"/>
          <w:lang w:val="en-US" w:eastAsia="zh-CN"/>
        </w:rPr>
        <w:t>组织</w:t>
      </w:r>
      <w:r>
        <w:rPr>
          <w:rFonts w:hint="eastAsia" w:ascii="仿宋" w:hAnsi="仿宋" w:eastAsia="仿宋"/>
          <w:sz w:val="32"/>
          <w:szCs w:val="32"/>
        </w:rPr>
        <w:t>开展202</w:t>
      </w:r>
      <w:r>
        <w:rPr>
          <w:rFonts w:hint="eastAsia" w:ascii="仿宋" w:hAnsi="仿宋" w:eastAsia="仿宋"/>
          <w:sz w:val="32"/>
          <w:szCs w:val="32"/>
          <w:lang w:val="en-US" w:eastAsia="zh-CN"/>
        </w:rPr>
        <w:t>2</w:t>
      </w:r>
      <w:r>
        <w:rPr>
          <w:rFonts w:hint="eastAsia" w:ascii="仿宋" w:hAnsi="仿宋" w:eastAsia="仿宋"/>
          <w:sz w:val="32"/>
          <w:szCs w:val="32"/>
        </w:rPr>
        <w:t>年度</w:t>
      </w:r>
      <w:r>
        <w:rPr>
          <w:rFonts w:hint="eastAsia" w:ascii="仿宋" w:hAnsi="仿宋" w:eastAsia="仿宋"/>
          <w:sz w:val="32"/>
          <w:szCs w:val="32"/>
          <w:lang w:val="en-US" w:eastAsia="zh-CN"/>
        </w:rPr>
        <w:t>项目事后</w:t>
      </w:r>
      <w:r>
        <w:rPr>
          <w:rFonts w:hint="eastAsia" w:ascii="仿宋" w:hAnsi="仿宋" w:eastAsia="仿宋"/>
          <w:sz w:val="32"/>
          <w:szCs w:val="32"/>
        </w:rPr>
        <w:t>绩效评价</w:t>
      </w:r>
      <w:r>
        <w:rPr>
          <w:rFonts w:hint="eastAsia" w:ascii="仿宋" w:hAnsi="仿宋" w:eastAsia="仿宋"/>
          <w:sz w:val="32"/>
          <w:szCs w:val="32"/>
          <w:lang w:val="en-US" w:eastAsia="zh-CN"/>
        </w:rPr>
        <w:t>工作</w:t>
      </w:r>
      <w:r>
        <w:rPr>
          <w:rFonts w:hint="eastAsia" w:ascii="仿宋" w:hAnsi="仿宋" w:eastAsia="仿宋"/>
          <w:sz w:val="32"/>
          <w:szCs w:val="32"/>
        </w:rPr>
        <w:t>。于</w:t>
      </w:r>
      <w:r>
        <w:rPr>
          <w:rFonts w:hint="eastAsia" w:ascii="仿宋" w:hAnsi="仿宋" w:eastAsia="仿宋"/>
          <w:sz w:val="32"/>
          <w:szCs w:val="32"/>
          <w:lang w:val="en-US" w:eastAsia="zh-CN"/>
        </w:rPr>
        <w:t>9</w:t>
      </w:r>
      <w:r>
        <w:rPr>
          <w:rFonts w:hint="eastAsia" w:ascii="仿宋" w:hAnsi="仿宋" w:eastAsia="仿宋"/>
          <w:sz w:val="32"/>
          <w:szCs w:val="32"/>
        </w:rPr>
        <w:t>月对</w:t>
      </w:r>
      <w:r>
        <w:rPr>
          <w:rFonts w:hint="eastAsia" w:ascii="仿宋" w:hAnsi="仿宋" w:eastAsia="仿宋"/>
          <w:sz w:val="32"/>
          <w:szCs w:val="32"/>
          <w:lang w:val="en-US" w:eastAsia="zh-CN"/>
        </w:rPr>
        <w:t>10</w:t>
      </w:r>
      <w:r>
        <w:rPr>
          <w:rFonts w:hint="eastAsia" w:ascii="仿宋" w:hAnsi="仿宋" w:eastAsia="仿宋"/>
          <w:sz w:val="32"/>
          <w:szCs w:val="32"/>
        </w:rPr>
        <w:t>个财政重点项目</w:t>
      </w:r>
      <w:r>
        <w:rPr>
          <w:rFonts w:hint="eastAsia" w:ascii="仿宋" w:hAnsi="仿宋" w:eastAsia="仿宋"/>
          <w:sz w:val="32"/>
          <w:szCs w:val="32"/>
          <w:lang w:val="en-US" w:eastAsia="zh-CN"/>
        </w:rPr>
        <w:t>进行财政绩效重点评价，涉及资金4875万元，</w:t>
      </w:r>
      <w:r>
        <w:rPr>
          <w:rFonts w:hint="eastAsia" w:ascii="仿宋" w:hAnsi="仿宋" w:eastAsia="仿宋"/>
          <w:sz w:val="32"/>
          <w:szCs w:val="32"/>
        </w:rPr>
        <w:t>评价结果及时反馈相关部门，并督促整改落实。</w:t>
      </w:r>
      <w:r>
        <w:rPr>
          <w:rFonts w:hint="eastAsia" w:ascii="仿宋" w:hAnsi="仿宋" w:eastAsia="仿宋"/>
          <w:sz w:val="32"/>
          <w:szCs w:val="32"/>
          <w:lang w:val="en-US" w:eastAsia="zh-CN"/>
        </w:rPr>
        <w:t>组织预算单位就本部门预算项目开展项目自评工作，涉及项目1215个，涉及资金38.62亿元。同时</w:t>
      </w:r>
      <w:r>
        <w:rPr>
          <w:rFonts w:hint="eastAsia" w:ascii="仿宋" w:hAnsi="仿宋" w:eastAsia="仿宋"/>
          <w:sz w:val="32"/>
          <w:szCs w:val="32"/>
        </w:rPr>
        <w:t>选取</w:t>
      </w:r>
      <w:r>
        <w:rPr>
          <w:rFonts w:hint="eastAsia" w:ascii="仿宋" w:hAnsi="仿宋" w:eastAsia="仿宋"/>
          <w:sz w:val="32"/>
          <w:szCs w:val="32"/>
          <w:lang w:val="en-US" w:eastAsia="zh-CN"/>
        </w:rPr>
        <w:t>8个</w:t>
      </w:r>
      <w:r>
        <w:rPr>
          <w:rFonts w:hint="eastAsia" w:ascii="仿宋" w:hAnsi="仿宋" w:eastAsia="仿宋"/>
          <w:sz w:val="32"/>
          <w:szCs w:val="32"/>
        </w:rPr>
        <w:t>部门开展202</w:t>
      </w:r>
      <w:r>
        <w:rPr>
          <w:rFonts w:hint="eastAsia" w:ascii="仿宋" w:hAnsi="仿宋" w:eastAsia="仿宋"/>
          <w:sz w:val="32"/>
          <w:szCs w:val="32"/>
          <w:lang w:val="en-US" w:eastAsia="zh-CN"/>
        </w:rPr>
        <w:t>2</w:t>
      </w:r>
      <w:r>
        <w:rPr>
          <w:rFonts w:hint="eastAsia" w:ascii="仿宋" w:hAnsi="仿宋" w:eastAsia="仿宋"/>
          <w:sz w:val="32"/>
          <w:szCs w:val="32"/>
        </w:rPr>
        <w:t>年度部门整体支出绩效评价，围绕部门 (单位)职责、行业发展规划,以预算资金管理为主线,统筹考虑管理效率、履职效能、收支分析等方面,综合衡量部门(单位)整体及核心业务实施效果。指导相关区级部门(单位)按照要求准备材料,配合评价工作组完成部门整体支出绩效评价和部门(单位)预算收支绩效分析工作。</w:t>
      </w:r>
    </w:p>
    <w:p>
      <w:pPr>
        <w:spacing w:after="0" w:line="520" w:lineRule="exact"/>
        <w:ind w:firstLine="640" w:firstLineChars="200"/>
        <w:jc w:val="both"/>
        <w:rPr>
          <w:rFonts w:ascii="仿宋" w:hAnsi="仿宋" w:eastAsia="仿宋"/>
          <w:sz w:val="32"/>
          <w:szCs w:val="32"/>
        </w:rPr>
      </w:pPr>
    </w:p>
    <w:p>
      <w:pPr>
        <w:spacing w:line="220" w:lineRule="atLeast"/>
        <w:rPr>
          <w:rFonts w:ascii="仿宋" w:hAnsi="仿宋" w:eastAsia="仿宋"/>
          <w:sz w:val="32"/>
          <w:szCs w:val="32"/>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WM0MjBhNjdhODExZWI3OGUyNTRiZjAyZTYzZTM2NDIifQ=="/>
  </w:docVars>
  <w:rsids>
    <w:rsidRoot w:val="00D31D50"/>
    <w:rsid w:val="0012797A"/>
    <w:rsid w:val="002674AB"/>
    <w:rsid w:val="00286BEA"/>
    <w:rsid w:val="002B76AF"/>
    <w:rsid w:val="00313FE3"/>
    <w:rsid w:val="00323B43"/>
    <w:rsid w:val="00392CB3"/>
    <w:rsid w:val="003B6D66"/>
    <w:rsid w:val="003D37D8"/>
    <w:rsid w:val="003F7F6D"/>
    <w:rsid w:val="00426133"/>
    <w:rsid w:val="004358AB"/>
    <w:rsid w:val="00442CCB"/>
    <w:rsid w:val="0049426D"/>
    <w:rsid w:val="00536C3F"/>
    <w:rsid w:val="005B7F36"/>
    <w:rsid w:val="00632B80"/>
    <w:rsid w:val="006B229B"/>
    <w:rsid w:val="006B5F72"/>
    <w:rsid w:val="00837791"/>
    <w:rsid w:val="00884EE1"/>
    <w:rsid w:val="008B7726"/>
    <w:rsid w:val="00A50493"/>
    <w:rsid w:val="00A8397E"/>
    <w:rsid w:val="00B101C2"/>
    <w:rsid w:val="00B2723E"/>
    <w:rsid w:val="00C71ED0"/>
    <w:rsid w:val="00D31D50"/>
    <w:rsid w:val="00D3494B"/>
    <w:rsid w:val="00D755A6"/>
    <w:rsid w:val="00E11243"/>
    <w:rsid w:val="00F02929"/>
    <w:rsid w:val="00F82AA7"/>
    <w:rsid w:val="0E70701D"/>
    <w:rsid w:val="28D21782"/>
    <w:rsid w:val="2973261D"/>
    <w:rsid w:val="4EEA5C2E"/>
    <w:rsid w:val="6FAB2355"/>
    <w:rsid w:val="74E84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3441</Words>
  <Characters>3617</Characters>
  <Lines>13</Lines>
  <Paragraphs>3</Paragraphs>
  <TotalTime>0</TotalTime>
  <ScaleCrop>false</ScaleCrop>
  <LinksUpToDate>false</LinksUpToDate>
  <CharactersWithSpaces>3626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sunny-ｙ</cp:lastModifiedBy>
  <dcterms:modified xsi:type="dcterms:W3CDTF">2024-04-19T09:34:19Z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5B0FC214AE7F4B53B318FD19B4C104D0_12</vt:lpwstr>
  </property>
</Properties>
</file>