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single" w:color="FF0000" w:sz="18" w:space="30"/>
          <w:left w:val="none" w:color="auto" w:sz="0" w:space="0"/>
          <w:bottom w:val="none" w:color="auto" w:sz="0" w:space="0"/>
          <w:right w:val="none" w:color="auto" w:sz="0" w:space="0"/>
        </w:pBdr>
        <w:spacing w:before="0" w:beforeAutospacing="1" w:after="0" w:afterAutospacing="1" w:line="420" w:lineRule="atLeast"/>
        <w:ind w:left="0" w:right="0"/>
        <w:jc w:val="center"/>
        <w:rPr>
          <w:rFonts w:ascii="华文中宋" w:hAnsi="华文中宋" w:eastAsia="华文中宋" w:cs="华文中宋"/>
          <w:color w:val="000000"/>
          <w:sz w:val="30"/>
          <w:szCs w:val="30"/>
        </w:rPr>
      </w:pPr>
      <w:bookmarkStart w:id="0" w:name="_GoBack"/>
      <w:r>
        <w:rPr>
          <w:rFonts w:hint="default" w:ascii="华文中宋" w:hAnsi="华文中宋" w:eastAsia="华文中宋" w:cs="华文中宋"/>
          <w:color w:val="000000"/>
          <w:kern w:val="0"/>
          <w:sz w:val="30"/>
          <w:szCs w:val="30"/>
          <w:bdr w:val="none" w:color="auto" w:sz="0" w:space="0"/>
          <w:lang w:val="en-US" w:eastAsia="zh-CN" w:bidi="ar"/>
        </w:rPr>
        <w:t>关于进一步加大政府采购支持中小企业力度的通知</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仿宋" w:hAnsi="仿宋" w:eastAsia="仿宋" w:cs="仿宋"/>
          <w:color w:val="000000"/>
          <w:sz w:val="28"/>
          <w:szCs w:val="28"/>
          <w:u w:val="none"/>
        </w:rPr>
      </w:pPr>
      <w:r>
        <w:rPr>
          <w:rFonts w:hint="eastAsia" w:ascii="仿宋" w:hAnsi="仿宋" w:eastAsia="仿宋" w:cs="仿宋"/>
          <w:color w:val="000000"/>
          <w:kern w:val="0"/>
          <w:sz w:val="24"/>
          <w:szCs w:val="24"/>
          <w:u w:val="none"/>
          <w:bdr w:val="none" w:color="auto" w:sz="0" w:space="0"/>
          <w:lang w:val="en-US" w:eastAsia="zh-CN" w:bidi="ar"/>
        </w:rPr>
        <w:t> </w:t>
      </w:r>
      <w:r>
        <w:rPr>
          <w:rFonts w:hint="eastAsia" w:ascii="仿宋" w:hAnsi="仿宋" w:eastAsia="仿宋" w:cs="仿宋"/>
          <w:b/>
          <w:bCs/>
          <w:color w:val="333333"/>
          <w:kern w:val="0"/>
          <w:sz w:val="24"/>
          <w:szCs w:val="24"/>
          <w:u w:val="none"/>
          <w:bdr w:val="none" w:color="auto" w:sz="0" w:space="0"/>
          <w:lang w:val="en-US" w:eastAsia="zh-CN" w:bidi="ar"/>
        </w:rPr>
        <w:t>财库〔2022〕19号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color w:val="333333"/>
          <w:sz w:val="28"/>
          <w:szCs w:val="28"/>
        </w:rPr>
      </w:pPr>
      <w:r>
        <w:rPr>
          <w:rFonts w:hint="eastAsia" w:ascii="仿宋" w:hAnsi="仿宋" w:eastAsia="仿宋" w:cs="仿宋"/>
          <w:color w:val="333333"/>
          <w:sz w:val="28"/>
          <w:szCs w:val="28"/>
          <w:u w:val="none"/>
          <w:bdr w:val="none" w:color="auto" w:sz="0" w:space="0"/>
        </w:rPr>
        <w:t>各中央预算单位，各省、自治区、直辖市、计划单列市财政厅（局），新疆生产建设兵团财政局：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color w:val="333333"/>
          <w:sz w:val="28"/>
          <w:szCs w:val="28"/>
        </w:rPr>
      </w:pPr>
      <w:r>
        <w:rPr>
          <w:rFonts w:hint="eastAsia" w:ascii="仿宋" w:hAnsi="仿宋" w:eastAsia="仿宋" w:cs="仿宋"/>
          <w:color w:val="333333"/>
          <w:sz w:val="28"/>
          <w:szCs w:val="28"/>
          <w:u w:val="none"/>
          <w:bdr w:val="none" w:color="auto" w:sz="0" w:space="0"/>
        </w:rPr>
        <w:t>　　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color w:val="333333"/>
          <w:sz w:val="28"/>
          <w:szCs w:val="28"/>
        </w:rPr>
      </w:pPr>
      <w:r>
        <w:rPr>
          <w:rFonts w:hint="eastAsia" w:ascii="仿宋" w:hAnsi="仿宋" w:eastAsia="仿宋" w:cs="仿宋"/>
          <w:color w:val="333333"/>
          <w:sz w:val="28"/>
          <w:szCs w:val="28"/>
          <w:u w:val="none"/>
          <w:bdr w:val="none" w:color="auto" w:sz="0" w:space="0"/>
        </w:rPr>
        <w:t>　　</w:t>
      </w:r>
      <w:r>
        <w:rPr>
          <w:rFonts w:hint="eastAsia" w:ascii="仿宋" w:hAnsi="仿宋" w:eastAsia="仿宋" w:cs="仿宋"/>
          <w:b/>
          <w:bCs/>
          <w:color w:val="333333"/>
          <w:sz w:val="28"/>
          <w:szCs w:val="28"/>
          <w:u w:val="none"/>
          <w:bdr w:val="none" w:color="auto" w:sz="0" w:space="0"/>
        </w:rPr>
        <w:t>一、严格落实支持中小企业政府采购政策。</w:t>
      </w:r>
      <w:r>
        <w:rPr>
          <w:rFonts w:hint="eastAsia" w:ascii="仿宋" w:hAnsi="仿宋" w:eastAsia="仿宋" w:cs="仿宋"/>
          <w:color w:val="333333"/>
          <w:sz w:val="28"/>
          <w:szCs w:val="28"/>
          <w:u w:val="none"/>
          <w:bdr w:val="none" w:color="auto" w:sz="0" w:space="0"/>
        </w:rPr>
        <w:t>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color w:val="333333"/>
          <w:sz w:val="28"/>
          <w:szCs w:val="28"/>
        </w:rPr>
      </w:pPr>
      <w:r>
        <w:rPr>
          <w:rFonts w:hint="eastAsia" w:ascii="仿宋" w:hAnsi="仿宋" w:eastAsia="仿宋" w:cs="仿宋"/>
          <w:color w:val="333333"/>
          <w:sz w:val="28"/>
          <w:szCs w:val="28"/>
          <w:u w:val="none"/>
          <w:bdr w:val="none" w:color="auto" w:sz="0" w:space="0"/>
        </w:rPr>
        <w:t>　　</w:t>
      </w:r>
      <w:r>
        <w:rPr>
          <w:rFonts w:hint="eastAsia" w:ascii="仿宋" w:hAnsi="仿宋" w:eastAsia="仿宋" w:cs="仿宋"/>
          <w:b/>
          <w:bCs/>
          <w:color w:val="333333"/>
          <w:sz w:val="28"/>
          <w:szCs w:val="28"/>
          <w:u w:val="none"/>
          <w:bdr w:val="none" w:color="auto" w:sz="0" w:space="0"/>
        </w:rPr>
        <w:t>二、调整对小微企业的价格评审优惠幅度。</w:t>
      </w:r>
      <w:r>
        <w:rPr>
          <w:rFonts w:hint="eastAsia" w:ascii="仿宋" w:hAnsi="仿宋" w:eastAsia="仿宋" w:cs="仿宋"/>
          <w:color w:val="333333"/>
          <w:sz w:val="28"/>
          <w:szCs w:val="28"/>
          <w:u w:val="none"/>
          <w:bdr w:val="none" w:color="auto" w:sz="0" w:space="0"/>
        </w:rPr>
        <w:t>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color w:val="333333"/>
          <w:sz w:val="28"/>
          <w:szCs w:val="28"/>
        </w:rPr>
      </w:pPr>
      <w:r>
        <w:rPr>
          <w:rFonts w:hint="eastAsia" w:ascii="仿宋" w:hAnsi="仿宋" w:eastAsia="仿宋" w:cs="仿宋"/>
          <w:color w:val="333333"/>
          <w:sz w:val="28"/>
          <w:szCs w:val="28"/>
          <w:u w:val="none"/>
          <w:bdr w:val="none" w:color="auto" w:sz="0" w:space="0"/>
        </w:rPr>
        <w:t>　　</w:t>
      </w:r>
      <w:r>
        <w:rPr>
          <w:rFonts w:hint="eastAsia" w:ascii="仿宋" w:hAnsi="仿宋" w:eastAsia="仿宋" w:cs="仿宋"/>
          <w:b/>
          <w:bCs/>
          <w:color w:val="333333"/>
          <w:sz w:val="28"/>
          <w:szCs w:val="28"/>
          <w:u w:val="none"/>
          <w:bdr w:val="none" w:color="auto" w:sz="0" w:space="0"/>
        </w:rPr>
        <w:t>三、提高政府采购工程面向中小企业预留份额。</w:t>
      </w:r>
      <w:r>
        <w:rPr>
          <w:rFonts w:hint="eastAsia" w:ascii="仿宋" w:hAnsi="仿宋" w:eastAsia="仿宋" w:cs="仿宋"/>
          <w:color w:val="333333"/>
          <w:sz w:val="28"/>
          <w:szCs w:val="28"/>
          <w:u w:val="none"/>
          <w:bdr w:val="none" w:color="auto" w:sz="0" w:space="0"/>
        </w:rPr>
        <w:t>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color w:val="333333"/>
          <w:sz w:val="28"/>
          <w:szCs w:val="28"/>
        </w:rPr>
      </w:pPr>
      <w:r>
        <w:rPr>
          <w:rFonts w:hint="eastAsia" w:ascii="仿宋" w:hAnsi="仿宋" w:eastAsia="仿宋" w:cs="仿宋"/>
          <w:color w:val="333333"/>
          <w:sz w:val="28"/>
          <w:szCs w:val="28"/>
          <w:u w:val="none"/>
          <w:bdr w:val="none" w:color="auto" w:sz="0" w:space="0"/>
        </w:rPr>
        <w:t>　　</w:t>
      </w:r>
      <w:r>
        <w:rPr>
          <w:rFonts w:hint="eastAsia" w:ascii="仿宋" w:hAnsi="仿宋" w:eastAsia="仿宋" w:cs="仿宋"/>
          <w:b/>
          <w:bCs/>
          <w:color w:val="333333"/>
          <w:sz w:val="28"/>
          <w:szCs w:val="28"/>
          <w:u w:val="none"/>
          <w:bdr w:val="none" w:color="auto" w:sz="0" w:space="0"/>
        </w:rPr>
        <w:t>四、认真做好组织实施。</w:t>
      </w:r>
      <w:r>
        <w:rPr>
          <w:rFonts w:hint="eastAsia" w:ascii="仿宋" w:hAnsi="仿宋" w:eastAsia="仿宋" w:cs="仿宋"/>
          <w:color w:val="333333"/>
          <w:sz w:val="28"/>
          <w:szCs w:val="28"/>
          <w:u w:val="none"/>
          <w:bdr w:val="none" w:color="auto" w:sz="0" w:space="0"/>
        </w:rPr>
        <w:t>各地区、各部门应当加强组织领导，明确工作责任，细化执行要求，强化监督检查，确保国务院部署落实到位，对通知执行中出现的问题要及时向财政部报告。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color w:val="333333"/>
          <w:sz w:val="28"/>
          <w:szCs w:val="28"/>
        </w:rPr>
      </w:pPr>
      <w:r>
        <w:rPr>
          <w:rFonts w:hint="eastAsia" w:ascii="仿宋" w:hAnsi="仿宋" w:eastAsia="仿宋" w:cs="仿宋"/>
          <w:color w:val="333333"/>
          <w:sz w:val="28"/>
          <w:szCs w:val="28"/>
          <w:u w:val="none"/>
          <w:bdr w:val="none" w:color="auto" w:sz="0" w:space="0"/>
        </w:rPr>
        <w:t>　　本通知自2022年7月1日起执行。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right"/>
        <w:rPr>
          <w:color w:val="333333"/>
          <w:sz w:val="28"/>
          <w:szCs w:val="28"/>
        </w:rPr>
      </w:pPr>
      <w:r>
        <w:rPr>
          <w:rFonts w:hint="eastAsia" w:ascii="仿宋" w:hAnsi="仿宋" w:eastAsia="仿宋" w:cs="仿宋"/>
          <w:color w:val="333333"/>
          <w:sz w:val="28"/>
          <w:szCs w:val="28"/>
          <w:u w:val="none"/>
          <w:bdr w:val="none" w:color="auto" w:sz="0" w:space="0"/>
        </w:rPr>
        <w:t>　　财  政  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right"/>
      </w:pPr>
      <w:r>
        <w:rPr>
          <w:rFonts w:hint="eastAsia" w:ascii="仿宋" w:hAnsi="仿宋" w:eastAsia="仿宋" w:cs="仿宋"/>
          <w:color w:val="333333"/>
          <w:sz w:val="28"/>
          <w:szCs w:val="28"/>
          <w:u w:val="none"/>
          <w:bdr w:val="none" w:color="auto" w:sz="0" w:space="0"/>
        </w:rPr>
        <w:t>　　2022年5月30日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0Y2NjODA0MDc4YzZiOTEzZjk0MDZkMzM5NjQ0NjcifQ=="/>
  </w:docVars>
  <w:rsids>
    <w:rsidRoot w:val="137C411F"/>
    <w:rsid w:val="137C4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2022-08-17T00:54:00Z</dcterms:created>
  <dc:creator>乔凯</dc:creator>
  <cp:lastModifiedBy>乔凯</cp:lastModifiedBy>
  <dcterms:modified xsi:type="dcterms:W3CDTF">2022-08-17T00:56:36Z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DA365B7AC97C449F99F53762E5642D3A</vt:lpwstr>
  </property>
</Properties>
</file>