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宋体" w:eastAsia="仿宋_GB2312"/>
          <w:color w:val="FF0000"/>
          <w:sz w:val="32"/>
          <w:szCs w:val="32"/>
        </w:rPr>
      </w:pPr>
      <w:r>
        <w:rPr>
          <w:rFonts w:ascii="仿宋_GB2312" w:eastAsia="仿宋_GB2312"/>
          <w:sz w:val="32"/>
          <w:szCs w:val="32"/>
        </w:rPr>
        <w:drawing>
          <wp:inline distT="0" distB="0" distL="114300" distR="114300">
            <wp:extent cx="5191125" cy="2619375"/>
            <wp:effectExtent l="0" t="0" r="9525" b="9525"/>
            <wp:docPr id="4" name="图片 2" descr="czj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zj3"/>
                    <pic:cNvPicPr>
                      <a:picLocks noChangeAspect="1"/>
                    </pic:cNvPicPr>
                  </pic:nvPicPr>
                  <pic:blipFill>
                    <a:blip r:embed="rId12"/>
                    <a:stretch>
                      <a:fillRect/>
                    </a:stretch>
                  </pic:blipFill>
                  <pic:spPr>
                    <a:xfrm>
                      <a:off x="0" y="0"/>
                      <a:ext cx="5191125" cy="2619375"/>
                    </a:xfrm>
                    <a:prstGeom prst="rect">
                      <a:avLst/>
                    </a:prstGeom>
                    <a:noFill/>
                    <a:ln w="9525">
                      <a:noFill/>
                    </a:ln>
                  </pic:spPr>
                </pic:pic>
              </a:graphicData>
            </a:graphic>
          </wp:inline>
        </w:drawing>
      </w:r>
    </w:p>
    <w:p>
      <w:pPr>
        <w:tabs>
          <w:tab w:val="left" w:pos="8505"/>
        </w:tabs>
        <w:adjustRightInd w:val="0"/>
        <w:snapToGrid w:val="0"/>
        <w:spacing w:line="360" w:lineRule="exact"/>
        <w:ind w:firstLine="320" w:firstLineChars="100"/>
        <w:jc w:val="left"/>
        <w:rPr>
          <w:rFonts w:eastAsia="仿宋_GB2312"/>
          <w:snapToGrid w:val="0"/>
          <w:kern w:val="0"/>
          <w:sz w:val="32"/>
          <w:szCs w:val="32"/>
        </w:rPr>
      </w:pPr>
      <w:r>
        <w:rPr>
          <w:rFonts w:hint="eastAsia" w:eastAsia="仿宋_GB2312"/>
          <w:snapToGrid w:val="0"/>
          <w:kern w:val="0"/>
          <w:sz w:val="32"/>
          <w:szCs w:val="32"/>
        </w:rPr>
        <w:t>蓟国资〔</w:t>
      </w:r>
      <w:r>
        <w:rPr>
          <w:rFonts w:eastAsia="仿宋_GB2312"/>
          <w:snapToGrid w:val="0"/>
          <w:kern w:val="0"/>
          <w:sz w:val="32"/>
          <w:szCs w:val="32"/>
        </w:rPr>
        <w:t>2021</w:t>
      </w:r>
      <w:r>
        <w:rPr>
          <w:rFonts w:hint="eastAsia" w:eastAsia="仿宋_GB2312"/>
          <w:snapToGrid w:val="0"/>
          <w:kern w:val="0"/>
          <w:sz w:val="32"/>
          <w:szCs w:val="32"/>
        </w:rPr>
        <w:t>〕</w:t>
      </w:r>
      <w:r>
        <w:rPr>
          <w:rFonts w:hint="eastAsia" w:eastAsia="仿宋_GB2312"/>
          <w:snapToGrid w:val="0"/>
          <w:kern w:val="0"/>
          <w:sz w:val="32"/>
          <w:szCs w:val="32"/>
          <w:lang w:val="en-US" w:eastAsia="zh-CN"/>
        </w:rPr>
        <w:t>27</w:t>
      </w:r>
      <w:r>
        <w:rPr>
          <w:rFonts w:hint="eastAsia" w:eastAsia="仿宋_GB2312"/>
          <w:snapToGrid w:val="0"/>
          <w:kern w:val="0"/>
          <w:sz w:val="32"/>
          <w:szCs w:val="32"/>
        </w:rPr>
        <w:t>号</w:t>
      </w:r>
      <w:r>
        <w:rPr>
          <w:rFonts w:eastAsia="仿宋_GB2312"/>
          <w:snapToGrid w:val="0"/>
          <w:kern w:val="0"/>
          <w:sz w:val="32"/>
          <w:szCs w:val="32"/>
        </w:rPr>
        <w:t xml:space="preserve">                 </w:t>
      </w:r>
      <w:r>
        <w:rPr>
          <w:rFonts w:hint="eastAsia" w:eastAsia="仿宋_GB2312"/>
          <w:snapToGrid w:val="0"/>
          <w:kern w:val="0"/>
          <w:sz w:val="32"/>
          <w:szCs w:val="32"/>
        </w:rPr>
        <w:t>签发人：</w:t>
      </w:r>
      <w:r>
        <w:rPr>
          <w:rFonts w:hint="eastAsia" w:ascii="楷体_GB2312" w:hAnsi="楷体" w:eastAsia="楷体_GB2312" w:cs="楷体"/>
          <w:snapToGrid w:val="0"/>
          <w:kern w:val="0"/>
          <w:sz w:val="32"/>
          <w:szCs w:val="32"/>
        </w:rPr>
        <w:t>金学钧</w:t>
      </w:r>
    </w:p>
    <w:p>
      <w:pPr>
        <w:spacing w:line="360" w:lineRule="exact"/>
        <w:jc w:val="center"/>
        <w:rPr>
          <w:rFonts w:ascii="仿宋_GB2312" w:eastAsia="仿宋_GB2312"/>
          <w:sz w:val="32"/>
          <w:szCs w:val="32"/>
        </w:rPr>
      </w:pPr>
      <w: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72390</wp:posOffset>
                </wp:positionV>
                <wp:extent cx="5615940" cy="0"/>
                <wp:effectExtent l="0" t="0" r="0" b="0"/>
                <wp:wrapNone/>
                <wp:docPr id="1" name="直线 2"/>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45pt;margin-top:5.7pt;height:0pt;width:442.2pt;z-index:251661312;mso-width-relative:page;mso-height-relative:page;" filled="f" stroked="t" coordsize="21600,21600" o:gfxdata="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wxU/F1AAA&#10;AAYBAAAPAAAAAAAAAAEAIAAAACIAAABkcnMvZG93bnJldi54bWxQSwECFAAUAAAACACHTuJA8X0N&#10;Q+kBAADcAwAADgAAAAAAAAABACAAAAAjAQAAZHJzL2Uyb0RvYy54bWxQSwUGAAAAAAYABgBZAQAA&#10;fgUAAAAA&#10;">
                <v:fill on="f" focussize="0,0"/>
                <v:stroke weight="1.5pt" color="#FF0000" joinstyle="round"/>
                <v:imagedata o:title=""/>
                <o:lock v:ext="edit" aspectratio="f"/>
              </v:line>
            </w:pict>
          </mc:Fallback>
        </mc:AlternateContent>
      </w:r>
    </w:p>
    <w:p>
      <w:pPr>
        <w:adjustRightInd w:val="0"/>
        <w:snapToGrid w:val="0"/>
        <w:spacing w:line="560" w:lineRule="exact"/>
        <w:jc w:val="center"/>
        <w:rPr>
          <w:rFonts w:ascii="仿宋_GB2312" w:hAnsi="宋体" w:eastAsia="仿宋_GB2312"/>
          <w:b/>
          <w:sz w:val="44"/>
          <w:szCs w:val="44"/>
        </w:rPr>
      </w:pPr>
    </w:p>
    <w:p>
      <w:pPr>
        <w:spacing w:line="720"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关于印发《蓟州区国资委监管企业对外捐赠管理办法》和《蓟州区国资委监管企业</w:t>
      </w:r>
    </w:p>
    <w:p>
      <w:pPr>
        <w:spacing w:line="720" w:lineRule="exact"/>
        <w:jc w:val="center"/>
        <w:rPr>
          <w:rFonts w:hint="eastAsia" w:ascii="方正小标宋简体" w:hAnsi="方正小标宋简体" w:eastAsia="方正小标宋简体" w:cs="方正小标宋简体"/>
          <w:bCs/>
          <w:spacing w:val="-20"/>
          <w:sz w:val="44"/>
          <w:szCs w:val="44"/>
          <w:lang w:eastAsia="zh-CN"/>
        </w:rPr>
      </w:pPr>
      <w:r>
        <w:rPr>
          <w:rFonts w:hint="eastAsia" w:ascii="方正小标宋简体" w:hAnsi="方正小标宋简体" w:eastAsia="方正小标宋简体" w:cs="方正小标宋简体"/>
          <w:bCs/>
          <w:sz w:val="44"/>
          <w:szCs w:val="44"/>
          <w:lang w:eastAsia="zh-CN"/>
        </w:rPr>
        <w:t>担保事项管理办法》的通知</w:t>
      </w:r>
    </w:p>
    <w:p>
      <w:pPr>
        <w:keepNext w:val="0"/>
        <w:keepLines w:val="0"/>
        <w:pageBreakBefore w:val="0"/>
        <w:widowControl w:val="0"/>
        <w:kinsoku/>
        <w:wordWrap/>
        <w:overflowPunct/>
        <w:topLinePunct w:val="0"/>
        <w:autoSpaceDE/>
        <w:autoSpaceDN/>
        <w:bidi w:val="0"/>
        <w:spacing w:line="360" w:lineRule="auto"/>
        <w:jc w:val="left"/>
        <w:textAlignment w:val="auto"/>
        <w:outlineLvl w:val="9"/>
        <w:rPr>
          <w:rFonts w:ascii="仿宋_GB2312" w:eastAsia="仿宋_GB2312"/>
          <w:sz w:val="32"/>
          <w:szCs w:val="32"/>
        </w:rPr>
      </w:pPr>
      <w:r>
        <w:rPr>
          <w:rFonts w:hint="eastAsia" w:ascii="仿宋_GB2312" w:eastAsia="仿宋_GB2312"/>
          <w:sz w:val="32"/>
          <w:szCs w:val="32"/>
          <w:lang w:eastAsia="zh-CN"/>
        </w:rPr>
        <w:t>各国有企业</w:t>
      </w:r>
      <w:r>
        <w:rPr>
          <w:rFonts w:hint="eastAsia" w:ascii="仿宋_GB2312" w:eastAsia="仿宋_GB2312"/>
          <w:sz w:val="32"/>
          <w:szCs w:val="32"/>
        </w:rPr>
        <w:t>：</w:t>
      </w:r>
    </w:p>
    <w:p>
      <w:pPr>
        <w:spacing w:line="360" w:lineRule="auto"/>
        <w:ind w:firstLine="640" w:firstLineChars="200"/>
        <w:jc w:val="both"/>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lang w:eastAsia="zh-CN"/>
        </w:rPr>
        <w:t>为落实</w:t>
      </w:r>
      <w:r>
        <w:rPr>
          <w:rFonts w:hint="eastAsia" w:ascii="仿宋_GB2312" w:hAnsi="楷体" w:eastAsia="仿宋_GB2312" w:cs="楷体"/>
          <w:sz w:val="32"/>
          <w:szCs w:val="32"/>
        </w:rPr>
        <w:t>为进一步</w:t>
      </w:r>
      <w:r>
        <w:rPr>
          <w:rFonts w:hint="eastAsia" w:ascii="仿宋_GB2312" w:hAnsi="楷体" w:eastAsia="仿宋_GB2312" w:cs="楷体"/>
          <w:sz w:val="32"/>
          <w:szCs w:val="32"/>
          <w:lang w:eastAsia="zh-CN"/>
        </w:rPr>
        <w:t>规范担保行为及</w:t>
      </w:r>
      <w:r>
        <w:rPr>
          <w:rFonts w:hint="eastAsia" w:ascii="仿宋_GB2312" w:hAnsi="仿宋_GB2312" w:eastAsia="仿宋_GB2312" w:cs="仿宋_GB2312"/>
          <w:color w:val="000000"/>
          <w:spacing w:val="0"/>
          <w:w w:val="100"/>
          <w:position w:val="0"/>
          <w:sz w:val="32"/>
          <w:szCs w:val="32"/>
        </w:rPr>
        <w:t>企业对外捐赠行为，维护国有股东权益，引导企业正确履行社会责任</w:t>
      </w:r>
      <w:r>
        <w:rPr>
          <w:rFonts w:hint="eastAsia" w:ascii="仿宋_GB2312" w:hAnsi="楷体" w:eastAsia="仿宋_GB2312" w:cs="楷体"/>
          <w:sz w:val="32"/>
          <w:szCs w:val="32"/>
          <w:lang w:eastAsia="zh-CN"/>
        </w:rPr>
        <w:t>，我委根据</w:t>
      </w:r>
      <w:r>
        <w:rPr>
          <w:rFonts w:hint="eastAsia" w:ascii="仿宋_GB2312" w:hAnsi="仿宋_GB2312" w:eastAsia="仿宋_GB2312" w:cs="仿宋_GB2312"/>
          <w:i w:val="0"/>
          <w:iCs w:val="0"/>
          <w:color w:val="000000"/>
          <w:spacing w:val="0"/>
          <w:w w:val="100"/>
          <w:position w:val="0"/>
          <w:sz w:val="32"/>
          <w:szCs w:val="32"/>
          <w:lang w:eastAsia="zh-CN"/>
        </w:rPr>
        <w:t>市级文件精神和</w:t>
      </w:r>
      <w:r>
        <w:rPr>
          <w:rFonts w:hint="eastAsia" w:ascii="仿宋_GB2312" w:hAnsi="楷体" w:eastAsia="仿宋_GB2312" w:cs="楷体"/>
          <w:sz w:val="32"/>
          <w:szCs w:val="32"/>
        </w:rPr>
        <w:t>我区实际情况，</w:t>
      </w:r>
      <w:r>
        <w:rPr>
          <w:rFonts w:hint="eastAsia" w:ascii="仿宋_GB2312" w:hAnsi="楷体" w:eastAsia="仿宋_GB2312" w:cs="楷体"/>
          <w:sz w:val="32"/>
          <w:szCs w:val="32"/>
          <w:lang w:eastAsia="zh-CN"/>
        </w:rPr>
        <w:t>制定了</w:t>
      </w:r>
      <w:r>
        <w:rPr>
          <w:rFonts w:hint="eastAsia" w:ascii="仿宋_GB2312" w:hAnsi="仿宋_GB2312" w:eastAsia="仿宋_GB2312" w:cs="仿宋_GB2312"/>
          <w:color w:val="000000"/>
          <w:spacing w:val="0"/>
          <w:w w:val="100"/>
          <w:position w:val="0"/>
          <w:sz w:val="32"/>
          <w:szCs w:val="32"/>
          <w:lang w:eastAsia="zh-CN"/>
        </w:rPr>
        <w:t>《蓟州区</w:t>
      </w:r>
      <w:r>
        <w:rPr>
          <w:rFonts w:hint="eastAsia" w:ascii="仿宋_GB2312" w:hAnsi="仿宋_GB2312" w:eastAsia="仿宋_GB2312" w:cs="仿宋_GB2312"/>
          <w:color w:val="000000"/>
          <w:spacing w:val="0"/>
          <w:w w:val="100"/>
          <w:position w:val="0"/>
          <w:sz w:val="32"/>
          <w:szCs w:val="32"/>
        </w:rPr>
        <w:t>国资委监管企业担保事项管理办法</w:t>
      </w:r>
      <w:r>
        <w:rPr>
          <w:rFonts w:hint="eastAsia" w:ascii="仿宋_GB2312" w:hAnsi="仿宋_GB2312" w:eastAsia="仿宋_GB2312" w:cs="仿宋_GB2312"/>
          <w:color w:val="000000"/>
          <w:spacing w:val="0"/>
          <w:w w:val="100"/>
          <w:position w:val="0"/>
          <w:sz w:val="32"/>
          <w:szCs w:val="32"/>
          <w:lang w:eastAsia="zh-CN"/>
        </w:rPr>
        <w:t>》和《蓟州区国资委监管企业对外捐赠管理办法》。现印发给你们，请认真贯彻执行。</w:t>
      </w:r>
    </w:p>
    <w:p>
      <w:pPr>
        <w:keepNext w:val="0"/>
        <w:keepLines w:val="0"/>
        <w:pageBreakBefore w:val="0"/>
        <w:widowControl w:val="0"/>
        <w:kinsoku/>
        <w:wordWrap/>
        <w:overflowPunct/>
        <w:topLinePunct w:val="0"/>
        <w:autoSpaceDE/>
        <w:autoSpaceDN/>
        <w:bidi w:val="0"/>
        <w:spacing w:line="560" w:lineRule="exact"/>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spacing w:line="560" w:lineRule="exact"/>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spacing w:line="560" w:lineRule="exact"/>
        <w:ind w:firstLine="5760" w:firstLineChars="1800"/>
        <w:textAlignment w:val="auto"/>
        <w:outlineLvl w:val="9"/>
        <w:rPr>
          <w:rFonts w:hint="eastAsia" w:ascii="仿宋_GB2312" w:eastAsia="仿宋_GB2312"/>
          <w:sz w:val="32"/>
          <w:szCs w:val="32"/>
        </w:rPr>
      </w:pPr>
      <w:r>
        <w:rPr>
          <w:rFonts w:ascii="仿宋_GB2312" w:eastAsia="仿宋_GB2312"/>
          <w:sz w:val="32"/>
          <w:szCs w:val="32"/>
        </w:rPr>
        <w:t>2021</w:t>
      </w:r>
      <w:r>
        <w:rPr>
          <w:rFonts w:hint="eastAsia" w:ascii="仿宋_GB2312" w:eastAsia="仿宋_GB2312"/>
          <w:sz w:val="32"/>
          <w:szCs w:val="32"/>
        </w:rPr>
        <w:t>年</w:t>
      </w:r>
      <w:r>
        <w:rPr>
          <w:rFonts w:hint="eastAsia" w:ascii="仿宋_GB2312" w:eastAsia="仿宋_GB2312"/>
          <w:sz w:val="32"/>
          <w:szCs w:val="32"/>
          <w:lang w:val="en-US" w:eastAsia="zh-CN"/>
        </w:rPr>
        <w:t>8</w:t>
      </w:r>
      <w:r>
        <w:rPr>
          <w:rFonts w:hint="eastAsia" w:ascii="仿宋_GB2312" w:eastAsia="仿宋_GB2312"/>
          <w:sz w:val="32"/>
          <w:szCs w:val="32"/>
        </w:rPr>
        <w:t>月</w:t>
      </w:r>
      <w:r>
        <w:rPr>
          <w:rFonts w:hint="eastAsia" w:ascii="仿宋_GB2312" w:eastAsia="仿宋_GB2312"/>
          <w:sz w:val="32"/>
          <w:szCs w:val="32"/>
          <w:lang w:val="en-US" w:eastAsia="zh-CN"/>
        </w:rPr>
        <w:t>31</w:t>
      </w:r>
      <w:r>
        <w:rPr>
          <w:rFonts w:hint="eastAsia" w:ascii="仿宋_GB2312" w:eastAsia="仿宋_GB2312"/>
          <w:sz w:val="32"/>
          <w:szCs w:val="32"/>
        </w:rPr>
        <w:t>日</w:t>
      </w:r>
    </w:p>
    <w:p>
      <w:pPr>
        <w:keepNext w:val="0"/>
        <w:keepLines w:val="0"/>
        <w:pageBreakBefore w:val="0"/>
        <w:widowControl w:val="0"/>
        <w:kinsoku/>
        <w:wordWrap/>
        <w:overflowPunct/>
        <w:topLinePunct w:val="0"/>
        <w:autoSpaceDE/>
        <w:autoSpaceDN/>
        <w:bidi w:val="0"/>
        <w:spacing w:line="560" w:lineRule="exact"/>
        <w:ind w:firstLine="5760" w:firstLineChars="1800"/>
        <w:textAlignment w:val="auto"/>
        <w:outlineLvl w:val="9"/>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方正小标宋简体" w:hAnsi="方正小标宋简体" w:eastAsia="方正小标宋简体" w:cs="方正小标宋简体"/>
          <w:sz w:val="44"/>
          <w:szCs w:val="44"/>
        </w:rPr>
      </w:pPr>
      <w:bookmarkStart w:id="0" w:name="bookmark13"/>
      <w:bookmarkStart w:id="1" w:name="bookmark11"/>
      <w:bookmarkStart w:id="2" w:name="bookmark12"/>
      <w:r>
        <w:rPr>
          <w:rFonts w:hint="eastAsia" w:ascii="方正小标宋简体" w:hAnsi="方正小标宋简体" w:eastAsia="方正小标宋简体" w:cs="方正小标宋简体"/>
          <w:sz w:val="44"/>
          <w:szCs w:val="44"/>
        </w:rPr>
        <mc:AlternateContent>
          <mc:Choice Requires="wps">
            <w:drawing>
              <wp:anchor distT="1476375" distB="0" distL="114300" distR="114300" simplePos="0" relativeHeight="251662336" behindDoc="0" locked="0" layoutInCell="1" allowOverlap="1">
                <wp:simplePos x="0" y="0"/>
                <wp:positionH relativeFrom="page">
                  <wp:posOffset>1283970</wp:posOffset>
                </wp:positionH>
                <wp:positionV relativeFrom="paragraph">
                  <wp:posOffset>1476375</wp:posOffset>
                </wp:positionV>
                <wp:extent cx="1478280" cy="243840"/>
                <wp:effectExtent l="0" t="0" r="0" b="0"/>
                <wp:wrapTopAndBottom/>
                <wp:docPr id="7" name="文本框 7"/>
                <wp:cNvGraphicFramePr/>
                <a:graphic xmlns:a="http://schemas.openxmlformats.org/drawingml/2006/main">
                  <a:graphicData uri="http://schemas.microsoft.com/office/word/2010/wordprocessingShape">
                    <wps:wsp>
                      <wps:cNvSpPr txBox="1"/>
                      <wps:spPr>
                        <a:xfrm>
                          <a:off x="0" y="0"/>
                          <a:ext cx="1478280" cy="243840"/>
                        </a:xfrm>
                        <a:prstGeom prst="rect">
                          <a:avLst/>
                        </a:prstGeom>
                        <a:noFill/>
                        <a:ln>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pPr>
                          </w:p>
                        </w:txbxContent>
                      </wps:txbx>
                      <wps:bodyPr wrap="none" lIns="0" tIns="0" rIns="0" bIns="0">
                        <a:noAutofit/>
                      </wps:bodyPr>
                    </wps:wsp>
                  </a:graphicData>
                </a:graphic>
              </wp:anchor>
            </w:drawing>
          </mc:Choice>
          <mc:Fallback>
            <w:pict>
              <v:shape id="_x0000_s1026" o:spid="_x0000_s1026" o:spt="202" type="#_x0000_t202" style="position:absolute;left:0pt;margin-left:101.1pt;margin-top:116.25pt;height:19.2pt;width:116.4pt;mso-position-horizontal-relative:page;mso-wrap-distance-bottom:0pt;mso-wrap-distance-top:116.25pt;mso-wrap-style:none;z-index:251662336;mso-width-relative:page;mso-height-relative:page;" filled="f" stroked="f" coordsize="21600,21600" o:gfxdata="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di9JFNgAAAALAQAADwAAAAAAAAABACAAAAAiAAAAZHJz&#10;L2Rvd25yZXYueG1sUEsBAhQAFAAAAAgAh07iQMxdBQ7LAQAAmgMAAA4AAAAAAAAAAQAgAAAAJwEA&#10;AGRycy9lMm9Eb2MueG1sUEsFBgAAAAAGAAYAWQEAAGQFAAAAAA==&#10;">
                <v:fill on="f" focussize="0,0"/>
                <v:stroke on="f"/>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40" w:lineRule="exact"/>
                        <w:textAlignment w:val="auto"/>
                      </w:pPr>
                    </w:p>
                  </w:txbxContent>
                </v:textbox>
                <w10:wrap type="topAndBottom"/>
              </v:shape>
            </w:pict>
          </mc:Fallback>
        </mc:AlternateContent>
      </w:r>
      <w:r>
        <w:rPr>
          <w:rFonts w:hint="eastAsia" w:ascii="方正小标宋简体" w:hAnsi="方正小标宋简体" w:eastAsia="方正小标宋简体" w:cs="方正小标宋简体"/>
          <w:sz w:val="44"/>
          <w:szCs w:val="44"/>
        </w:rPr>
        <mc:AlternateContent>
          <mc:Choice Requires="wps">
            <w:drawing>
              <wp:anchor distT="1092200" distB="121920" distL="114300" distR="114300" simplePos="0" relativeHeight="251663360" behindDoc="0" locked="0" layoutInCell="1" allowOverlap="1">
                <wp:simplePos x="0" y="0"/>
                <wp:positionH relativeFrom="page">
                  <wp:posOffset>4130675</wp:posOffset>
                </wp:positionH>
                <wp:positionV relativeFrom="paragraph">
                  <wp:posOffset>1092200</wp:posOffset>
                </wp:positionV>
                <wp:extent cx="1630680" cy="506095"/>
                <wp:effectExtent l="0" t="0" r="0" b="0"/>
                <wp:wrapTopAndBottom/>
                <wp:docPr id="9" name="文本框 9"/>
                <wp:cNvGraphicFramePr/>
                <a:graphic xmlns:a="http://schemas.openxmlformats.org/drawingml/2006/main">
                  <a:graphicData uri="http://schemas.microsoft.com/office/word/2010/wordprocessingShape">
                    <wps:wsp>
                      <wps:cNvSpPr txBox="1"/>
                      <wps:spPr>
                        <a:xfrm>
                          <a:off x="0" y="0"/>
                          <a:ext cx="1630680" cy="506095"/>
                        </a:xfrm>
                        <a:prstGeom prst="rect">
                          <a:avLst/>
                        </a:prstGeom>
                        <a:noFill/>
                        <a:ln>
                          <a:noFill/>
                        </a:ln>
                        <a:effectLst/>
                      </wps:spPr>
                      <wps:txbx>
                        <w:txbxContent>
                          <w:p/>
                        </w:txbxContent>
                      </wps:txbx>
                      <wps:bodyPr lIns="0" tIns="0" rIns="0" bIns="0">
                        <a:noAutofit/>
                      </wps:bodyPr>
                    </wps:wsp>
                  </a:graphicData>
                </a:graphic>
              </wp:anchor>
            </w:drawing>
          </mc:Choice>
          <mc:Fallback>
            <w:pict>
              <v:shape id="_x0000_s1026" o:spid="_x0000_s1026" o:spt="202" type="#_x0000_t202" style="position:absolute;left:0pt;margin-left:325.25pt;margin-top:86pt;height:39.85pt;width:128.4pt;mso-position-horizontal-relative:page;mso-wrap-distance-bottom:9.6pt;mso-wrap-distance-top:86pt;z-index:251663360;mso-width-relative:page;mso-height-relative:page;" filled="f" stroked="f" coordsize="21600,21600" o:gfxdata="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1dExI2QAAAAsBAAAPAAAAAAAAAAEAIAAAACIAAABkcnMvZG93bnJl&#10;di54bWxQSwECFAAUAAAACACHTuJAH4XV0cMBAACOAwAADgAAAAAAAAABACAAAAAoAQAAZHJzL2Uy&#10;b0RvYy54bWxQSwUGAAAAAAYABgBZAQAAXQUAAAAA&#10;">
                <v:fill on="f" focussize="0,0"/>
                <v:stroke on="f"/>
                <v:imagedata o:title=""/>
                <o:lock v:ext="edit" aspectratio="f"/>
                <v:textbox inset="0mm,0mm,0mm,0mm">
                  <w:txbxContent>
                    <w:p/>
                  </w:txbxContent>
                </v:textbox>
                <w10:wrap type="topAndBottom"/>
              </v:shape>
            </w:pict>
          </mc:Fallback>
        </mc:AlternateContent>
      </w:r>
      <w:bookmarkStart w:id="3" w:name="bookmark48"/>
      <w:bookmarkStart w:id="4" w:name="bookmark47"/>
      <w:bookmarkStart w:id="5" w:name="bookmark49"/>
      <w:r>
        <w:rPr>
          <w:rFonts w:hint="eastAsia" w:ascii="方正小标宋简体" w:hAnsi="方正小标宋简体" w:eastAsia="方正小标宋简体" w:cs="方正小标宋简体"/>
          <w:color w:val="000000"/>
          <w:spacing w:val="0"/>
          <w:w w:val="100"/>
          <w:position w:val="0"/>
          <w:sz w:val="44"/>
          <w:szCs w:val="44"/>
          <w:lang w:eastAsia="zh-CN"/>
        </w:rPr>
        <w:t>蓟州区</w:t>
      </w:r>
      <w:r>
        <w:rPr>
          <w:rFonts w:hint="eastAsia" w:ascii="方正小标宋简体" w:hAnsi="方正小标宋简体" w:eastAsia="方正小标宋简体" w:cs="方正小标宋简体"/>
          <w:color w:val="000000"/>
          <w:spacing w:val="0"/>
          <w:w w:val="100"/>
          <w:position w:val="0"/>
          <w:sz w:val="44"/>
          <w:szCs w:val="44"/>
        </w:rPr>
        <w:t>国资委监管企业担保事项管理办法</w:t>
      </w:r>
      <w:bookmarkEnd w:id="3"/>
      <w:bookmarkEnd w:id="4"/>
      <w:bookmarkEnd w:id="5"/>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pacing w:val="0"/>
          <w:w w:val="100"/>
          <w:position w:val="0"/>
          <w:sz w:val="32"/>
          <w:szCs w:val="32"/>
        </w:rPr>
      </w:pPr>
    </w:p>
    <w:p>
      <w:pPr>
        <w:pStyle w:val="13"/>
        <w:keepNext w:val="0"/>
        <w:keepLines w:val="0"/>
        <w:widowControl w:val="0"/>
        <w:shd w:val="clear" w:color="auto" w:fill="auto"/>
        <w:bidi w:val="0"/>
        <w:spacing w:before="0" w:after="560" w:line="564" w:lineRule="exact"/>
        <w:ind w:left="0" w:right="0" w:firstLine="0"/>
        <w:jc w:val="center"/>
        <w:rPr>
          <w:rFonts w:hint="eastAsia" w:ascii="黑体" w:hAnsi="黑体" w:eastAsia="黑体" w:cs="黑体"/>
          <w:b/>
          <w:bCs/>
          <w:sz w:val="32"/>
          <w:szCs w:val="32"/>
        </w:rPr>
      </w:pPr>
      <w:r>
        <w:rPr>
          <w:rFonts w:hint="eastAsia" w:ascii="黑体" w:hAnsi="黑体" w:eastAsia="黑体" w:cs="黑体"/>
          <w:b/>
          <w:bCs/>
          <w:color w:val="000000"/>
          <w:spacing w:val="0"/>
          <w:w w:val="100"/>
          <w:position w:val="0"/>
          <w:sz w:val="32"/>
          <w:szCs w:val="32"/>
        </w:rPr>
        <w:t>第一章</w:t>
      </w:r>
      <w:r>
        <w:rPr>
          <w:rFonts w:hint="eastAsia" w:ascii="黑体" w:hAnsi="黑体" w:eastAsia="黑体" w:cs="黑体"/>
          <w:b/>
          <w:bCs/>
          <w:color w:val="000000"/>
          <w:spacing w:val="0"/>
          <w:w w:val="100"/>
          <w:position w:val="0"/>
          <w:sz w:val="32"/>
          <w:szCs w:val="32"/>
          <w:lang w:eastAsia="zh-CN"/>
        </w:rPr>
        <w:t>　</w:t>
      </w:r>
      <w:r>
        <w:rPr>
          <w:rFonts w:hint="eastAsia" w:ascii="黑体" w:hAnsi="黑体" w:eastAsia="黑体" w:cs="黑体"/>
          <w:b/>
          <w:bCs/>
          <w:color w:val="000000"/>
          <w:spacing w:val="0"/>
          <w:w w:val="100"/>
          <w:position w:val="0"/>
          <w:sz w:val="32"/>
          <w:szCs w:val="32"/>
        </w:rPr>
        <w:t>总则</w:t>
      </w:r>
    </w:p>
    <w:p>
      <w:pPr>
        <w:pStyle w:val="13"/>
        <w:keepNext w:val="0"/>
        <w:keepLines w:val="0"/>
        <w:widowControl w:val="0"/>
        <w:shd w:val="clear" w:color="auto" w:fill="auto"/>
        <w:bidi w:val="0"/>
        <w:spacing w:before="0" w:after="0" w:line="550" w:lineRule="exact"/>
        <w:ind w:left="0" w:right="0"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rPr>
        <w:t>第一条</w:t>
      </w:r>
      <w:r>
        <w:rPr>
          <w:rFonts w:hint="eastAsia" w:ascii="仿宋_GB2312" w:hAnsi="仿宋_GB2312" w:eastAsia="仿宋_GB2312" w:cs="仿宋_GB2312"/>
          <w:b/>
          <w:bCs/>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为指导企业进一步完善担保事项管理，规范担保行为，防范担保风险，维护国有资产安全、完整，根据法律法规及国家有关规定和</w:t>
      </w:r>
      <w:r>
        <w:rPr>
          <w:rFonts w:hint="eastAsia" w:ascii="仿宋_GB2312" w:hAnsi="仿宋_GB2312" w:eastAsia="仿宋_GB2312" w:cs="仿宋_GB2312"/>
          <w:i w:val="0"/>
          <w:iCs w:val="0"/>
          <w:color w:val="000000"/>
          <w:spacing w:val="0"/>
          <w:w w:val="100"/>
          <w:position w:val="0"/>
          <w:sz w:val="32"/>
          <w:szCs w:val="32"/>
          <w:lang w:eastAsia="zh-CN"/>
        </w:rPr>
        <w:t>《市国资委关于印发</w:t>
      </w:r>
      <w:r>
        <w:rPr>
          <w:rFonts w:hint="eastAsia" w:ascii="仿宋_GB2312" w:hAnsi="仿宋_GB2312" w:eastAsia="仿宋_GB2312" w:cs="仿宋_GB2312"/>
          <w:i w:val="0"/>
          <w:iCs w:val="0"/>
          <w:color w:val="000000"/>
          <w:spacing w:val="0"/>
          <w:w w:val="100"/>
          <w:position w:val="0"/>
          <w:sz w:val="32"/>
          <w:szCs w:val="32"/>
          <w:lang w:val="en-US" w:eastAsia="zh-CN"/>
        </w:rPr>
        <w:t>〈天津市国资委监管企业担保管理办法〉的通知</w:t>
      </w:r>
      <w:r>
        <w:rPr>
          <w:rFonts w:hint="eastAsia" w:ascii="仿宋_GB2312" w:hAnsi="仿宋_GB2312" w:eastAsia="仿宋_GB2312" w:cs="仿宋_GB2312"/>
          <w:i w:val="0"/>
          <w:iCs w:val="0"/>
          <w:color w:val="000000"/>
          <w:spacing w:val="0"/>
          <w:w w:val="100"/>
          <w:position w:val="0"/>
          <w:sz w:val="32"/>
          <w:szCs w:val="32"/>
          <w:lang w:eastAsia="zh-CN"/>
        </w:rPr>
        <w:t>》（津国资财经</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i w:val="0"/>
          <w:iCs w:val="0"/>
          <w:color w:val="000000"/>
          <w:spacing w:val="0"/>
          <w:w w:val="100"/>
          <w:position w:val="0"/>
          <w:sz w:val="32"/>
          <w:szCs w:val="32"/>
          <w:lang w:val="en-US" w:eastAsia="zh-CN"/>
        </w:rPr>
        <w:t>2020</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i w:val="0"/>
          <w:iCs w:val="0"/>
          <w:color w:val="000000"/>
          <w:spacing w:val="0"/>
          <w:w w:val="100"/>
          <w:position w:val="0"/>
          <w:sz w:val="32"/>
          <w:szCs w:val="32"/>
          <w:lang w:val="en-US" w:eastAsia="zh-CN"/>
        </w:rPr>
        <w:t>45号</w:t>
      </w:r>
      <w:r>
        <w:rPr>
          <w:rFonts w:hint="eastAsia" w:ascii="仿宋_GB2312" w:hAnsi="仿宋_GB2312" w:eastAsia="仿宋_GB2312" w:cs="仿宋_GB2312"/>
          <w:i w:val="0"/>
          <w:iCs w:val="0"/>
          <w:color w:val="000000"/>
          <w:spacing w:val="0"/>
          <w:w w:val="100"/>
          <w:position w:val="0"/>
          <w:sz w:val="32"/>
          <w:szCs w:val="32"/>
          <w:lang w:eastAsia="zh-CN"/>
        </w:rPr>
        <w:t>）文件精神</w:t>
      </w:r>
      <w:r>
        <w:rPr>
          <w:rFonts w:hint="eastAsia" w:ascii="仿宋_GB2312" w:hAnsi="仿宋_GB2312" w:eastAsia="仿宋_GB2312" w:cs="仿宋_GB2312"/>
          <w:color w:val="000000"/>
          <w:spacing w:val="0"/>
          <w:w w:val="100"/>
          <w:position w:val="0"/>
          <w:sz w:val="32"/>
          <w:szCs w:val="32"/>
        </w:rPr>
        <w:t>，结合</w:t>
      </w:r>
      <w:r>
        <w:rPr>
          <w:rFonts w:hint="eastAsia" w:ascii="仿宋_GB2312" w:hAnsi="仿宋_GB2312" w:eastAsia="仿宋_GB2312" w:cs="仿宋_GB2312"/>
          <w:color w:val="000000"/>
          <w:spacing w:val="0"/>
          <w:w w:val="100"/>
          <w:position w:val="0"/>
          <w:sz w:val="32"/>
          <w:szCs w:val="32"/>
          <w:lang w:eastAsia="zh-CN"/>
        </w:rPr>
        <w:t>我区</w:t>
      </w:r>
      <w:r>
        <w:rPr>
          <w:rFonts w:hint="eastAsia" w:ascii="仿宋_GB2312" w:hAnsi="仿宋_GB2312" w:eastAsia="仿宋_GB2312" w:cs="仿宋_GB2312"/>
          <w:color w:val="000000"/>
          <w:spacing w:val="0"/>
          <w:w w:val="100"/>
          <w:position w:val="0"/>
          <w:sz w:val="32"/>
          <w:szCs w:val="32"/>
        </w:rPr>
        <w:t>实际，制定本办法。</w:t>
      </w:r>
    </w:p>
    <w:p>
      <w:pPr>
        <w:pStyle w:val="13"/>
        <w:keepNext w:val="0"/>
        <w:keepLines w:val="0"/>
        <w:widowControl w:val="0"/>
        <w:shd w:val="clear" w:color="auto" w:fill="auto"/>
        <w:bidi w:val="0"/>
        <w:spacing w:before="0" w:after="0" w:line="564" w:lineRule="exact"/>
        <w:ind w:left="0" w:right="0"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rPr>
        <w:t>第二条</w:t>
      </w:r>
      <w:r>
        <w:rPr>
          <w:rFonts w:hint="eastAsia" w:ascii="仿宋_GB2312" w:hAnsi="仿宋_GB2312" w:eastAsia="仿宋_GB2312" w:cs="仿宋_GB2312"/>
          <w:b/>
          <w:bCs/>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天津市</w:t>
      </w:r>
      <w:r>
        <w:rPr>
          <w:rFonts w:hint="eastAsia" w:ascii="仿宋_GB2312" w:hAnsi="仿宋_GB2312" w:eastAsia="仿宋_GB2312" w:cs="仿宋_GB2312"/>
          <w:color w:val="000000"/>
          <w:spacing w:val="0"/>
          <w:w w:val="100"/>
          <w:position w:val="0"/>
          <w:sz w:val="32"/>
          <w:szCs w:val="32"/>
          <w:lang w:eastAsia="zh-CN"/>
        </w:rPr>
        <w:t>蓟州区</w:t>
      </w:r>
      <w:r>
        <w:rPr>
          <w:rFonts w:hint="eastAsia" w:ascii="仿宋_GB2312" w:hAnsi="仿宋_GB2312" w:eastAsia="仿宋_GB2312" w:cs="仿宋_GB2312"/>
          <w:color w:val="000000"/>
          <w:spacing w:val="0"/>
          <w:w w:val="100"/>
          <w:position w:val="0"/>
          <w:sz w:val="32"/>
          <w:szCs w:val="32"/>
        </w:rPr>
        <w:t>人民政府国有资产监督管理委员会（以下简称</w:t>
      </w:r>
      <w:r>
        <w:rPr>
          <w:rFonts w:hint="eastAsia" w:ascii="仿宋_GB2312" w:hAnsi="仿宋_GB2312" w:eastAsia="仿宋_GB2312" w:cs="仿宋_GB2312"/>
          <w:color w:val="000000"/>
          <w:spacing w:val="0"/>
          <w:w w:val="100"/>
          <w:position w:val="0"/>
          <w:sz w:val="32"/>
          <w:szCs w:val="32"/>
          <w:lang w:eastAsia="zh-CN"/>
        </w:rPr>
        <w:t>区</w:t>
      </w:r>
      <w:r>
        <w:rPr>
          <w:rFonts w:hint="eastAsia" w:ascii="仿宋_GB2312" w:hAnsi="仿宋_GB2312" w:eastAsia="仿宋_GB2312" w:cs="仿宋_GB2312"/>
          <w:color w:val="000000"/>
          <w:spacing w:val="0"/>
          <w:w w:val="100"/>
          <w:position w:val="0"/>
          <w:sz w:val="32"/>
          <w:szCs w:val="32"/>
        </w:rPr>
        <w:t>国资委）履行出资人职责的企业（以下统称</w:t>
      </w:r>
      <w:r>
        <w:rPr>
          <w:rFonts w:hint="eastAsia" w:ascii="仿宋_GB2312" w:hAnsi="仿宋_GB2312" w:eastAsia="仿宋_GB2312" w:cs="仿宋_GB2312"/>
          <w:color w:val="000000"/>
          <w:spacing w:val="0"/>
          <w:w w:val="100"/>
          <w:position w:val="0"/>
          <w:sz w:val="32"/>
          <w:szCs w:val="32"/>
          <w:lang w:eastAsia="zh-CN"/>
        </w:rPr>
        <w:t>监管</w:t>
      </w:r>
      <w:r>
        <w:rPr>
          <w:rFonts w:hint="eastAsia" w:ascii="仿宋_GB2312" w:hAnsi="仿宋_GB2312" w:eastAsia="仿宋_GB2312" w:cs="仿宋_GB2312"/>
          <w:color w:val="000000"/>
          <w:spacing w:val="0"/>
          <w:w w:val="100"/>
          <w:position w:val="0"/>
          <w:sz w:val="32"/>
          <w:szCs w:val="32"/>
        </w:rPr>
        <w:t>企业）及所属企业（包括各级独资企业、控股企业）担保事项的管理适用本办法。</w:t>
      </w:r>
    </w:p>
    <w:p>
      <w:pPr>
        <w:pStyle w:val="13"/>
        <w:keepNext w:val="0"/>
        <w:keepLines w:val="0"/>
        <w:widowControl w:val="0"/>
        <w:shd w:val="clear" w:color="auto" w:fill="auto"/>
        <w:bidi w:val="0"/>
        <w:spacing w:before="0" w:after="0" w:line="564" w:lineRule="exact"/>
        <w:ind w:left="0" w:right="0"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rPr>
        <w:t>第三条</w:t>
      </w:r>
      <w:r>
        <w:rPr>
          <w:rFonts w:hint="eastAsia" w:ascii="仿宋_GB2312" w:hAnsi="仿宋_GB2312" w:eastAsia="仿宋_GB2312" w:cs="仿宋_GB2312"/>
          <w:b/>
          <w:bCs/>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本办法所称担保事项，是指债务人向债权人融资情况下，</w:t>
      </w:r>
      <w:r>
        <w:rPr>
          <w:rFonts w:hint="eastAsia" w:ascii="仿宋_GB2312" w:hAnsi="仿宋_GB2312" w:eastAsia="仿宋_GB2312" w:cs="仿宋_GB2312"/>
          <w:color w:val="000000"/>
          <w:spacing w:val="0"/>
          <w:w w:val="100"/>
          <w:position w:val="0"/>
          <w:sz w:val="32"/>
          <w:szCs w:val="32"/>
          <w:lang w:eastAsia="zh-CN"/>
        </w:rPr>
        <w:t>监管</w:t>
      </w:r>
      <w:r>
        <w:rPr>
          <w:rFonts w:hint="eastAsia" w:ascii="仿宋_GB2312" w:hAnsi="仿宋_GB2312" w:eastAsia="仿宋_GB2312" w:cs="仿宋_GB2312"/>
          <w:color w:val="000000"/>
          <w:spacing w:val="0"/>
          <w:w w:val="100"/>
          <w:position w:val="0"/>
          <w:sz w:val="32"/>
          <w:szCs w:val="32"/>
        </w:rPr>
        <w:t>企业及所属企业以担保人名义与债权人约定，当债务人（以下称被担保人）不履行债务时，担保人按照约定履行债务或承担责任的经济行为。担保方式包括保证、抵押和质押。</w:t>
      </w:r>
    </w:p>
    <w:p>
      <w:pPr>
        <w:pStyle w:val="13"/>
        <w:keepNext w:val="0"/>
        <w:keepLines w:val="0"/>
        <w:widowControl w:val="0"/>
        <w:shd w:val="clear" w:color="auto" w:fill="auto"/>
        <w:bidi w:val="0"/>
        <w:spacing w:before="0" w:after="180" w:line="564" w:lineRule="exact"/>
        <w:ind w:left="0" w:right="0" w:firstLine="640"/>
        <w:jc w:val="both"/>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rPr>
        <w:t>第四条</w:t>
      </w:r>
      <w:r>
        <w:rPr>
          <w:rFonts w:hint="eastAsia" w:ascii="仿宋_GB2312" w:hAnsi="仿宋_GB2312" w:eastAsia="仿宋_GB2312" w:cs="仿宋_GB2312"/>
          <w:b/>
          <w:bCs/>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根据担保人对被担保人的实际控制情况，担保事项分为对内担保和对外担保。</w:t>
      </w:r>
      <w:r>
        <w:rPr>
          <w:rFonts w:hint="eastAsia" w:ascii="仿宋_GB2312" w:hAnsi="仿宋_GB2312" w:eastAsia="仿宋_GB2312" w:cs="仿宋_GB2312"/>
          <w:color w:val="000000"/>
          <w:spacing w:val="0"/>
          <w:w w:val="100"/>
          <w:position w:val="0"/>
          <w:sz w:val="32"/>
          <w:szCs w:val="32"/>
          <w:lang w:eastAsia="zh-CN"/>
        </w:rPr>
        <w:t>监管</w:t>
      </w:r>
      <w:r>
        <w:rPr>
          <w:rFonts w:hint="eastAsia" w:ascii="仿宋_GB2312" w:hAnsi="仿宋_GB2312" w:eastAsia="仿宋_GB2312" w:cs="仿宋_GB2312"/>
          <w:color w:val="000000"/>
          <w:spacing w:val="0"/>
          <w:w w:val="100"/>
          <w:position w:val="0"/>
          <w:sz w:val="32"/>
          <w:szCs w:val="32"/>
        </w:rPr>
        <w:t>企业及所属企业为自身能够控制的企业提供的担保、所属企业之间的担保称为对内担保，对内担保以外的担保称为对外担保。</w:t>
      </w:r>
      <w:r>
        <w:rPr>
          <w:rFonts w:hint="eastAsia" w:ascii="仿宋_GB2312" w:hAnsi="仿宋_GB2312" w:eastAsia="仿宋_GB2312" w:cs="仿宋_GB2312"/>
          <w:color w:val="000000"/>
          <w:spacing w:val="0"/>
          <w:w w:val="100"/>
          <w:position w:val="0"/>
          <w:sz w:val="32"/>
          <w:szCs w:val="32"/>
          <w:lang w:eastAsia="zh-CN"/>
        </w:rPr>
        <w:t>监管</w:t>
      </w:r>
      <w:r>
        <w:rPr>
          <w:rFonts w:hint="eastAsia" w:ascii="仿宋_GB2312" w:hAnsi="仿宋_GB2312" w:eastAsia="仿宋_GB2312" w:cs="仿宋_GB2312"/>
          <w:color w:val="000000"/>
          <w:spacing w:val="0"/>
          <w:w w:val="100"/>
          <w:position w:val="0"/>
          <w:sz w:val="32"/>
          <w:szCs w:val="32"/>
        </w:rPr>
        <w:t>企业及所属企业作为被担保人提供的反担保，不属于对外担保。</w:t>
      </w:r>
    </w:p>
    <w:p>
      <w:pPr>
        <w:pStyle w:val="13"/>
        <w:keepNext w:val="0"/>
        <w:keepLines w:val="0"/>
        <w:widowControl w:val="0"/>
        <w:shd w:val="clear" w:color="auto" w:fill="auto"/>
        <w:bidi w:val="0"/>
        <w:spacing w:before="0" w:after="180" w:line="564" w:lineRule="exact"/>
        <w:ind w:left="0" w:right="0"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本办法所称控制是指担保人根据产权关系、公司章程或协议约定，能够实际主导和决定被担保人的决策、财务和经营政策、董事会成员任免等事项。</w:t>
      </w:r>
    </w:p>
    <w:p>
      <w:pPr>
        <w:pStyle w:val="13"/>
        <w:keepNext w:val="0"/>
        <w:keepLines w:val="0"/>
        <w:widowControl w:val="0"/>
        <w:shd w:val="clear" w:color="auto" w:fill="auto"/>
        <w:bidi w:val="0"/>
        <w:spacing w:before="0" w:after="0" w:line="566" w:lineRule="exact"/>
        <w:ind w:left="0" w:right="0"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rPr>
        <w:t>第五条</w:t>
      </w:r>
      <w:r>
        <w:rPr>
          <w:rFonts w:hint="eastAsia" w:ascii="仿宋_GB2312" w:hAnsi="仿宋_GB2312" w:eastAsia="仿宋_GB2312" w:cs="仿宋_GB2312"/>
          <w:b/>
          <w:bCs/>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担保事项应当遵循以下原则：</w:t>
      </w:r>
    </w:p>
    <w:p>
      <w:pPr>
        <w:pStyle w:val="13"/>
        <w:keepNext w:val="0"/>
        <w:keepLines w:val="0"/>
        <w:widowControl w:val="0"/>
        <w:shd w:val="clear" w:color="auto" w:fill="auto"/>
        <w:tabs>
          <w:tab w:val="left" w:pos="1678"/>
        </w:tabs>
        <w:bidi w:val="0"/>
        <w:spacing w:before="0" w:after="0" w:line="566" w:lineRule="exact"/>
        <w:ind w:left="0" w:right="0" w:firstLine="840"/>
        <w:jc w:val="both"/>
        <w:rPr>
          <w:rFonts w:hint="eastAsia" w:ascii="仿宋_GB2312" w:hAnsi="仿宋_GB2312" w:eastAsia="仿宋_GB2312" w:cs="仿宋_GB2312"/>
          <w:sz w:val="32"/>
          <w:szCs w:val="32"/>
        </w:rPr>
      </w:pPr>
      <w:bookmarkStart w:id="6" w:name="bookmark50"/>
      <w:r>
        <w:rPr>
          <w:rFonts w:hint="eastAsia" w:ascii="仿宋_GB2312" w:hAnsi="仿宋_GB2312" w:eastAsia="仿宋_GB2312" w:cs="仿宋_GB2312"/>
          <w:color w:val="000000"/>
          <w:spacing w:val="0"/>
          <w:w w:val="100"/>
          <w:position w:val="0"/>
          <w:sz w:val="32"/>
          <w:szCs w:val="32"/>
        </w:rPr>
        <w:t>（</w:t>
      </w:r>
      <w:bookmarkEnd w:id="6"/>
      <w:r>
        <w:rPr>
          <w:rFonts w:hint="eastAsia" w:ascii="仿宋_GB2312" w:hAnsi="仿宋_GB2312" w:eastAsia="仿宋_GB2312" w:cs="仿宋_GB2312"/>
          <w:color w:val="000000"/>
          <w:spacing w:val="0"/>
          <w:w w:val="100"/>
          <w:position w:val="0"/>
          <w:sz w:val="32"/>
          <w:szCs w:val="32"/>
        </w:rPr>
        <w:t>一）平等、自愿、公平、诚信原则；</w:t>
      </w:r>
    </w:p>
    <w:p>
      <w:pPr>
        <w:pStyle w:val="13"/>
        <w:keepNext w:val="0"/>
        <w:keepLines w:val="0"/>
        <w:widowControl w:val="0"/>
        <w:shd w:val="clear" w:color="auto" w:fill="auto"/>
        <w:tabs>
          <w:tab w:val="left" w:pos="1678"/>
        </w:tabs>
        <w:bidi w:val="0"/>
        <w:spacing w:before="0" w:after="0" w:line="563" w:lineRule="exact"/>
        <w:ind w:left="0" w:right="0" w:firstLine="840"/>
        <w:jc w:val="both"/>
        <w:rPr>
          <w:rFonts w:hint="eastAsia" w:ascii="仿宋_GB2312" w:hAnsi="仿宋_GB2312" w:eastAsia="仿宋_GB2312" w:cs="仿宋_GB2312"/>
          <w:sz w:val="32"/>
          <w:szCs w:val="32"/>
        </w:rPr>
      </w:pPr>
      <w:bookmarkStart w:id="7" w:name="bookmark51"/>
      <w:r>
        <w:rPr>
          <w:rFonts w:hint="eastAsia" w:ascii="仿宋_GB2312" w:hAnsi="仿宋_GB2312" w:eastAsia="仿宋_GB2312" w:cs="仿宋_GB2312"/>
          <w:color w:val="000000"/>
          <w:spacing w:val="0"/>
          <w:w w:val="100"/>
          <w:position w:val="0"/>
          <w:sz w:val="32"/>
          <w:szCs w:val="32"/>
        </w:rPr>
        <w:t>（</w:t>
      </w:r>
      <w:bookmarkEnd w:id="7"/>
      <w:r>
        <w:rPr>
          <w:rFonts w:hint="eastAsia" w:ascii="仿宋_GB2312" w:hAnsi="仿宋_GB2312" w:eastAsia="仿宋_GB2312" w:cs="仿宋_GB2312"/>
          <w:color w:val="000000"/>
          <w:spacing w:val="0"/>
          <w:w w:val="100"/>
          <w:position w:val="0"/>
          <w:sz w:val="32"/>
          <w:szCs w:val="32"/>
        </w:rPr>
        <w:t>二）依法担保，规范运作原则；</w:t>
      </w:r>
    </w:p>
    <w:p>
      <w:pPr>
        <w:pStyle w:val="13"/>
        <w:keepNext w:val="0"/>
        <w:keepLines w:val="0"/>
        <w:widowControl w:val="0"/>
        <w:shd w:val="clear" w:color="auto" w:fill="auto"/>
        <w:tabs>
          <w:tab w:val="left" w:pos="1683"/>
        </w:tabs>
        <w:bidi w:val="0"/>
        <w:spacing w:before="0" w:after="540" w:line="563" w:lineRule="exact"/>
        <w:ind w:left="0" w:right="0" w:firstLine="840"/>
        <w:jc w:val="both"/>
        <w:rPr>
          <w:rFonts w:hint="eastAsia" w:ascii="仿宋_GB2312" w:hAnsi="仿宋_GB2312" w:eastAsia="仿宋_GB2312" w:cs="仿宋_GB2312"/>
          <w:color w:val="000000"/>
          <w:spacing w:val="0"/>
          <w:w w:val="100"/>
          <w:position w:val="0"/>
          <w:sz w:val="32"/>
          <w:szCs w:val="32"/>
        </w:rPr>
      </w:pPr>
      <w:bookmarkStart w:id="8" w:name="bookmark52"/>
      <w:r>
        <w:rPr>
          <w:rFonts w:hint="eastAsia" w:ascii="仿宋_GB2312" w:hAnsi="仿宋_GB2312" w:eastAsia="仿宋_GB2312" w:cs="仿宋_GB2312"/>
          <w:color w:val="000000"/>
          <w:spacing w:val="0"/>
          <w:w w:val="100"/>
          <w:position w:val="0"/>
          <w:sz w:val="32"/>
          <w:szCs w:val="32"/>
        </w:rPr>
        <w:t>（</w:t>
      </w:r>
      <w:bookmarkEnd w:id="8"/>
      <w:r>
        <w:rPr>
          <w:rFonts w:hint="eastAsia" w:ascii="仿宋_GB2312" w:hAnsi="仿宋_GB2312" w:eastAsia="仿宋_GB2312" w:cs="仿宋_GB2312"/>
          <w:color w:val="000000"/>
          <w:spacing w:val="0"/>
          <w:w w:val="100"/>
          <w:position w:val="0"/>
          <w:sz w:val="32"/>
          <w:szCs w:val="32"/>
        </w:rPr>
        <w:t>三）量力而行，风险可控原则。</w:t>
      </w:r>
    </w:p>
    <w:p>
      <w:pPr>
        <w:pStyle w:val="13"/>
        <w:keepNext w:val="0"/>
        <w:keepLines w:val="0"/>
        <w:widowControl w:val="0"/>
        <w:shd w:val="clear" w:color="auto" w:fill="auto"/>
        <w:bidi w:val="0"/>
        <w:spacing w:before="0" w:after="560" w:line="564" w:lineRule="exact"/>
        <w:ind w:left="0" w:right="0" w:firstLine="0"/>
        <w:jc w:val="center"/>
        <w:rPr>
          <w:rFonts w:hint="eastAsia" w:ascii="黑体" w:hAnsi="黑体" w:eastAsia="黑体" w:cs="黑体"/>
          <w:b/>
          <w:bCs/>
          <w:color w:val="000000"/>
          <w:spacing w:val="0"/>
          <w:w w:val="100"/>
          <w:position w:val="0"/>
          <w:sz w:val="32"/>
          <w:szCs w:val="32"/>
        </w:rPr>
      </w:pPr>
      <w:r>
        <w:rPr>
          <w:rFonts w:hint="eastAsia" w:ascii="黑体" w:hAnsi="黑体" w:eastAsia="黑体" w:cs="黑体"/>
          <w:b/>
          <w:bCs/>
          <w:color w:val="000000"/>
          <w:spacing w:val="0"/>
          <w:w w:val="100"/>
          <w:position w:val="0"/>
          <w:sz w:val="32"/>
          <w:szCs w:val="32"/>
        </w:rPr>
        <w:t>第二章</w:t>
      </w:r>
      <w:r>
        <w:rPr>
          <w:rFonts w:hint="eastAsia" w:ascii="黑体" w:hAnsi="黑体" w:eastAsia="黑体" w:cs="黑体"/>
          <w:b/>
          <w:bCs/>
          <w:color w:val="000000"/>
          <w:spacing w:val="0"/>
          <w:w w:val="100"/>
          <w:position w:val="0"/>
          <w:sz w:val="32"/>
          <w:szCs w:val="32"/>
          <w:lang w:eastAsia="zh-CN"/>
        </w:rPr>
        <w:t>　</w:t>
      </w:r>
      <w:r>
        <w:rPr>
          <w:rFonts w:hint="eastAsia" w:ascii="黑体" w:hAnsi="黑体" w:eastAsia="黑体" w:cs="黑体"/>
          <w:b/>
          <w:bCs/>
          <w:color w:val="000000"/>
          <w:spacing w:val="0"/>
          <w:w w:val="100"/>
          <w:position w:val="0"/>
          <w:sz w:val="32"/>
          <w:szCs w:val="32"/>
        </w:rPr>
        <w:t>基本要求</w:t>
      </w:r>
    </w:p>
    <w:p>
      <w:pPr>
        <w:pStyle w:val="13"/>
        <w:keepNext w:val="0"/>
        <w:keepLines w:val="0"/>
        <w:widowControl w:val="0"/>
        <w:shd w:val="clear" w:color="auto" w:fill="auto"/>
        <w:bidi w:val="0"/>
        <w:spacing w:before="0" w:after="0" w:line="563" w:lineRule="exact"/>
        <w:ind w:left="0" w:right="0"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rPr>
        <w:t>第六条</w:t>
      </w:r>
      <w:r>
        <w:rPr>
          <w:rFonts w:hint="eastAsia" w:ascii="仿宋_GB2312" w:hAnsi="仿宋_GB2312" w:eastAsia="仿宋_GB2312" w:cs="仿宋_GB2312"/>
          <w:b/>
          <w:bCs/>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lang w:eastAsia="zh-CN"/>
        </w:rPr>
        <w:t>监管</w:t>
      </w:r>
      <w:r>
        <w:rPr>
          <w:rFonts w:hint="eastAsia" w:ascii="仿宋_GB2312" w:hAnsi="仿宋_GB2312" w:eastAsia="仿宋_GB2312" w:cs="仿宋_GB2312"/>
          <w:color w:val="000000"/>
          <w:spacing w:val="0"/>
          <w:w w:val="100"/>
          <w:position w:val="0"/>
          <w:sz w:val="32"/>
          <w:szCs w:val="32"/>
        </w:rPr>
        <w:t>企业及所属企业作为担保人，应当符合相关法律规定的担保资格，经营、财务及资信状况良好，内部管理制度健全，具有较强的代为清偿债务能力。</w:t>
      </w:r>
    </w:p>
    <w:p>
      <w:pPr>
        <w:pStyle w:val="13"/>
        <w:keepNext w:val="0"/>
        <w:keepLines w:val="0"/>
        <w:widowControl w:val="0"/>
        <w:shd w:val="clear" w:color="auto" w:fill="auto"/>
        <w:bidi w:val="0"/>
        <w:spacing w:before="0" w:after="0" w:line="563" w:lineRule="exact"/>
        <w:ind w:left="0" w:right="0"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rPr>
        <w:t>第七条</w:t>
      </w:r>
      <w:r>
        <w:rPr>
          <w:rFonts w:hint="eastAsia" w:ascii="仿宋_GB2312" w:hAnsi="仿宋_GB2312" w:eastAsia="仿宋_GB2312" w:cs="仿宋_GB2312"/>
          <w:color w:val="000000"/>
          <w:spacing w:val="0"/>
          <w:w w:val="100"/>
          <w:position w:val="0"/>
          <w:sz w:val="32"/>
          <w:szCs w:val="32"/>
        </w:rPr>
        <w:t xml:space="preserve"> </w:t>
      </w:r>
      <w:r>
        <w:rPr>
          <w:rFonts w:hint="eastAsia" w:ascii="仿宋_GB2312" w:hAnsi="仿宋_GB2312" w:eastAsia="仿宋_GB2312" w:cs="仿宋_GB2312"/>
          <w:color w:val="000000"/>
          <w:spacing w:val="0"/>
          <w:w w:val="100"/>
          <w:position w:val="0"/>
          <w:sz w:val="32"/>
          <w:szCs w:val="32"/>
          <w:lang w:eastAsia="zh-CN"/>
        </w:rPr>
        <w:t>监管</w:t>
      </w:r>
      <w:r>
        <w:rPr>
          <w:rFonts w:hint="eastAsia" w:ascii="仿宋_GB2312" w:hAnsi="仿宋_GB2312" w:eastAsia="仿宋_GB2312" w:cs="仿宋_GB2312"/>
          <w:color w:val="000000"/>
          <w:spacing w:val="0"/>
          <w:w w:val="100"/>
          <w:position w:val="0"/>
          <w:sz w:val="32"/>
          <w:szCs w:val="32"/>
        </w:rPr>
        <w:t>企业及所属企业提供担保，应从资产规模、资产负债率、盈利能力等方面综合考虑承受能力。累计对外担保责任余额不得超过最近一个会计年度合并会计报表净资产的30%;债务风险等级列为关注类和重点关注类的</w:t>
      </w:r>
      <w:r>
        <w:rPr>
          <w:rFonts w:hint="eastAsia" w:ascii="仿宋_GB2312" w:hAnsi="仿宋_GB2312" w:eastAsia="仿宋_GB2312" w:cs="仿宋_GB2312"/>
          <w:color w:val="000000"/>
          <w:spacing w:val="0"/>
          <w:w w:val="100"/>
          <w:position w:val="0"/>
          <w:sz w:val="32"/>
          <w:szCs w:val="32"/>
          <w:lang w:eastAsia="zh-CN"/>
        </w:rPr>
        <w:t>监管</w:t>
      </w:r>
      <w:r>
        <w:rPr>
          <w:rFonts w:hint="eastAsia" w:ascii="仿宋_GB2312" w:hAnsi="仿宋_GB2312" w:eastAsia="仿宋_GB2312" w:cs="仿宋_GB2312"/>
          <w:color w:val="000000"/>
          <w:spacing w:val="0"/>
          <w:w w:val="100"/>
          <w:position w:val="0"/>
          <w:sz w:val="32"/>
          <w:szCs w:val="32"/>
        </w:rPr>
        <w:t>企业，要逐步压缩对外担保，严格控制对内担保。</w:t>
      </w:r>
    </w:p>
    <w:p>
      <w:pPr>
        <w:pStyle w:val="13"/>
        <w:keepNext w:val="0"/>
        <w:keepLines w:val="0"/>
        <w:widowControl w:val="0"/>
        <w:shd w:val="clear" w:color="auto" w:fill="auto"/>
        <w:bidi w:val="0"/>
        <w:spacing w:before="0" w:after="0" w:line="563" w:lineRule="exact"/>
        <w:ind w:left="0" w:right="0" w:firstLine="500"/>
        <w:jc w:val="both"/>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rPr>
        <w:t>第八条</w:t>
      </w:r>
      <w:r>
        <w:rPr>
          <w:rFonts w:hint="eastAsia" w:ascii="仿宋_GB2312" w:hAnsi="仿宋_GB2312" w:eastAsia="仿宋_GB2312" w:cs="仿宋_GB2312"/>
          <w:color w:val="000000"/>
          <w:spacing w:val="0"/>
          <w:w w:val="100"/>
          <w:position w:val="0"/>
          <w:sz w:val="32"/>
          <w:szCs w:val="32"/>
        </w:rPr>
        <w:t xml:space="preserve"> 除特殊情况外，出现以下情形之一的，</w:t>
      </w:r>
      <w:r>
        <w:rPr>
          <w:rFonts w:hint="eastAsia" w:ascii="仿宋_GB2312" w:hAnsi="仿宋_GB2312" w:eastAsia="仿宋_GB2312" w:cs="仿宋_GB2312"/>
          <w:color w:val="000000"/>
          <w:spacing w:val="0"/>
          <w:w w:val="100"/>
          <w:position w:val="0"/>
          <w:sz w:val="32"/>
          <w:szCs w:val="32"/>
          <w:lang w:eastAsia="zh-CN"/>
        </w:rPr>
        <w:t>监管</w:t>
      </w:r>
      <w:r>
        <w:rPr>
          <w:rFonts w:hint="eastAsia" w:ascii="仿宋_GB2312" w:hAnsi="仿宋_GB2312" w:eastAsia="仿宋_GB2312" w:cs="仿宋_GB2312"/>
          <w:color w:val="000000"/>
          <w:spacing w:val="0"/>
          <w:w w:val="100"/>
          <w:position w:val="0"/>
          <w:sz w:val="32"/>
          <w:szCs w:val="32"/>
        </w:rPr>
        <w:t>企业及所属企业不得提供担保：</w:t>
      </w:r>
    </w:p>
    <w:p>
      <w:pPr>
        <w:pStyle w:val="13"/>
        <w:keepNext w:val="0"/>
        <w:keepLines w:val="0"/>
        <w:widowControl w:val="0"/>
        <w:shd w:val="clear" w:color="auto" w:fill="auto"/>
        <w:tabs>
          <w:tab w:val="left" w:pos="1468"/>
        </w:tabs>
        <w:bidi w:val="0"/>
        <w:spacing w:before="0" w:after="0" w:line="563" w:lineRule="exact"/>
        <w:ind w:left="0" w:right="0" w:firstLine="620"/>
        <w:jc w:val="both"/>
        <w:rPr>
          <w:rFonts w:hint="eastAsia" w:ascii="仿宋_GB2312" w:hAnsi="仿宋_GB2312" w:eastAsia="仿宋_GB2312" w:cs="仿宋_GB2312"/>
          <w:sz w:val="32"/>
          <w:szCs w:val="32"/>
        </w:rPr>
      </w:pPr>
      <w:bookmarkStart w:id="9" w:name="bookmark53"/>
      <w:r>
        <w:rPr>
          <w:rFonts w:hint="eastAsia" w:ascii="仿宋_GB2312" w:hAnsi="仿宋_GB2312" w:eastAsia="仿宋_GB2312" w:cs="仿宋_GB2312"/>
          <w:color w:val="000000"/>
          <w:spacing w:val="0"/>
          <w:w w:val="100"/>
          <w:position w:val="0"/>
          <w:sz w:val="32"/>
          <w:szCs w:val="32"/>
        </w:rPr>
        <w:t>（</w:t>
      </w:r>
      <w:bookmarkEnd w:id="9"/>
      <w:r>
        <w:rPr>
          <w:rFonts w:hint="eastAsia" w:ascii="仿宋_GB2312" w:hAnsi="仿宋_GB2312" w:eastAsia="仿宋_GB2312" w:cs="仿宋_GB2312"/>
          <w:color w:val="000000"/>
          <w:spacing w:val="0"/>
          <w:w w:val="100"/>
          <w:position w:val="0"/>
          <w:sz w:val="32"/>
          <w:szCs w:val="32"/>
        </w:rPr>
        <w:t>一）被担保人有不良信用记录的；</w:t>
      </w:r>
    </w:p>
    <w:p>
      <w:pPr>
        <w:pStyle w:val="13"/>
        <w:keepNext w:val="0"/>
        <w:keepLines w:val="0"/>
        <w:widowControl w:val="0"/>
        <w:shd w:val="clear" w:color="auto" w:fill="auto"/>
        <w:tabs>
          <w:tab w:val="left" w:pos="1483"/>
        </w:tabs>
        <w:bidi w:val="0"/>
        <w:spacing w:before="0" w:after="0" w:line="563" w:lineRule="exact"/>
        <w:ind w:left="0" w:right="0" w:firstLine="640"/>
        <w:jc w:val="both"/>
        <w:rPr>
          <w:rFonts w:hint="eastAsia" w:ascii="仿宋_GB2312" w:hAnsi="仿宋_GB2312" w:eastAsia="仿宋_GB2312" w:cs="仿宋_GB2312"/>
          <w:color w:val="000000"/>
          <w:spacing w:val="0"/>
          <w:w w:val="100"/>
          <w:position w:val="0"/>
          <w:sz w:val="32"/>
          <w:szCs w:val="32"/>
        </w:rPr>
      </w:pPr>
      <w:bookmarkStart w:id="10" w:name="bookmark54"/>
      <w:r>
        <w:rPr>
          <w:rFonts w:hint="eastAsia" w:ascii="仿宋_GB2312" w:hAnsi="仿宋_GB2312" w:eastAsia="仿宋_GB2312" w:cs="仿宋_GB2312"/>
          <w:color w:val="000000"/>
          <w:spacing w:val="0"/>
          <w:w w:val="100"/>
          <w:position w:val="0"/>
          <w:sz w:val="32"/>
          <w:szCs w:val="32"/>
        </w:rPr>
        <w:t>（</w:t>
      </w:r>
      <w:bookmarkEnd w:id="10"/>
      <w:r>
        <w:rPr>
          <w:rFonts w:hint="eastAsia" w:ascii="仿宋_GB2312" w:hAnsi="仿宋_GB2312" w:eastAsia="仿宋_GB2312" w:cs="仿宋_GB2312"/>
          <w:color w:val="000000"/>
          <w:spacing w:val="0"/>
          <w:w w:val="100"/>
          <w:position w:val="0"/>
          <w:sz w:val="32"/>
          <w:szCs w:val="32"/>
        </w:rPr>
        <w:t>二）担保事项不符合法律法规、国家产业政策及担保人担保制度；</w:t>
      </w:r>
    </w:p>
    <w:p>
      <w:pPr>
        <w:pStyle w:val="13"/>
        <w:keepNext w:val="0"/>
        <w:keepLines w:val="0"/>
        <w:widowControl w:val="0"/>
        <w:shd w:val="clear" w:color="auto" w:fill="auto"/>
        <w:tabs>
          <w:tab w:val="left" w:pos="1483"/>
        </w:tabs>
        <w:bidi w:val="0"/>
        <w:spacing w:before="0" w:after="0" w:line="563" w:lineRule="exact"/>
        <w:ind w:left="0" w:right="0" w:firstLine="640"/>
        <w:jc w:val="both"/>
        <w:rPr>
          <w:rFonts w:hint="eastAsia" w:ascii="仿宋_GB2312" w:hAnsi="仿宋_GB2312" w:eastAsia="仿宋_GB2312" w:cs="仿宋_GB2312"/>
          <w:sz w:val="32"/>
          <w:szCs w:val="32"/>
        </w:rPr>
      </w:pPr>
      <w:bookmarkStart w:id="11" w:name="bookmark55"/>
      <w:r>
        <w:rPr>
          <w:rFonts w:hint="eastAsia" w:ascii="仿宋_GB2312" w:hAnsi="仿宋_GB2312" w:eastAsia="仿宋_GB2312" w:cs="仿宋_GB2312"/>
          <w:color w:val="000000"/>
          <w:spacing w:val="0"/>
          <w:w w:val="100"/>
          <w:position w:val="0"/>
          <w:sz w:val="32"/>
          <w:szCs w:val="32"/>
        </w:rPr>
        <w:t>（</w:t>
      </w:r>
      <w:bookmarkEnd w:id="11"/>
      <w:r>
        <w:rPr>
          <w:rFonts w:hint="eastAsia" w:ascii="仿宋_GB2312" w:hAnsi="仿宋_GB2312" w:eastAsia="仿宋_GB2312" w:cs="仿宋_GB2312"/>
          <w:color w:val="000000"/>
          <w:spacing w:val="0"/>
          <w:w w:val="100"/>
          <w:position w:val="0"/>
          <w:sz w:val="32"/>
          <w:szCs w:val="32"/>
        </w:rPr>
        <w:t>三）为购买金融衍生品等高风险投资项目担保；</w:t>
      </w:r>
    </w:p>
    <w:p>
      <w:pPr>
        <w:pStyle w:val="13"/>
        <w:keepNext w:val="0"/>
        <w:keepLines w:val="0"/>
        <w:widowControl w:val="0"/>
        <w:shd w:val="clear" w:color="auto" w:fill="auto"/>
        <w:tabs>
          <w:tab w:val="left" w:pos="1483"/>
        </w:tabs>
        <w:bidi w:val="0"/>
        <w:spacing w:before="0" w:after="0" w:line="563" w:lineRule="exact"/>
        <w:ind w:left="0" w:right="0" w:firstLine="640"/>
        <w:jc w:val="both"/>
        <w:rPr>
          <w:rFonts w:hint="eastAsia" w:ascii="仿宋_GB2312" w:hAnsi="仿宋_GB2312" w:eastAsia="仿宋_GB2312" w:cs="仿宋_GB2312"/>
          <w:sz w:val="32"/>
          <w:szCs w:val="32"/>
        </w:rPr>
      </w:pPr>
      <w:bookmarkStart w:id="12" w:name="bookmark56"/>
      <w:r>
        <w:rPr>
          <w:rFonts w:hint="eastAsia" w:ascii="仿宋_GB2312" w:hAnsi="仿宋_GB2312" w:eastAsia="仿宋_GB2312" w:cs="仿宋_GB2312"/>
          <w:color w:val="000000"/>
          <w:spacing w:val="0"/>
          <w:w w:val="100"/>
          <w:position w:val="0"/>
          <w:sz w:val="32"/>
          <w:szCs w:val="32"/>
        </w:rPr>
        <w:t>（</w:t>
      </w:r>
      <w:bookmarkEnd w:id="12"/>
      <w:r>
        <w:rPr>
          <w:rFonts w:hint="eastAsia" w:ascii="仿宋_GB2312" w:hAnsi="仿宋_GB2312" w:eastAsia="仿宋_GB2312" w:cs="仿宋_GB2312"/>
          <w:color w:val="000000"/>
          <w:spacing w:val="0"/>
          <w:w w:val="100"/>
          <w:position w:val="0"/>
          <w:sz w:val="32"/>
          <w:szCs w:val="32"/>
        </w:rPr>
        <w:t>四）被担保人为民营企业、自然人或非法人单位；</w:t>
      </w:r>
    </w:p>
    <w:p>
      <w:pPr>
        <w:pStyle w:val="13"/>
        <w:keepNext w:val="0"/>
        <w:keepLines w:val="0"/>
        <w:widowControl w:val="0"/>
        <w:shd w:val="clear" w:color="auto" w:fill="auto"/>
        <w:tabs>
          <w:tab w:val="left" w:pos="1483"/>
        </w:tabs>
        <w:bidi w:val="0"/>
        <w:spacing w:before="0" w:after="0" w:line="563" w:lineRule="exact"/>
        <w:ind w:left="0" w:right="0" w:firstLine="640"/>
        <w:jc w:val="both"/>
        <w:rPr>
          <w:rFonts w:hint="eastAsia" w:ascii="仿宋_GB2312" w:hAnsi="仿宋_GB2312" w:eastAsia="仿宋_GB2312" w:cs="仿宋_GB2312"/>
          <w:sz w:val="32"/>
          <w:szCs w:val="32"/>
        </w:rPr>
      </w:pPr>
      <w:bookmarkStart w:id="13" w:name="bookmark57"/>
      <w:r>
        <w:rPr>
          <w:rFonts w:hint="eastAsia" w:ascii="仿宋_GB2312" w:hAnsi="仿宋_GB2312" w:eastAsia="仿宋_GB2312" w:cs="仿宋_GB2312"/>
          <w:color w:val="000000"/>
          <w:spacing w:val="0"/>
          <w:w w:val="100"/>
          <w:position w:val="0"/>
          <w:sz w:val="32"/>
          <w:szCs w:val="32"/>
        </w:rPr>
        <w:t>（</w:t>
      </w:r>
      <w:bookmarkEnd w:id="13"/>
      <w:r>
        <w:rPr>
          <w:rFonts w:hint="eastAsia" w:ascii="仿宋_GB2312" w:hAnsi="仿宋_GB2312" w:eastAsia="仿宋_GB2312" w:cs="仿宋_GB2312"/>
          <w:color w:val="000000"/>
          <w:spacing w:val="0"/>
          <w:w w:val="100"/>
          <w:position w:val="0"/>
          <w:sz w:val="32"/>
          <w:szCs w:val="32"/>
        </w:rPr>
        <w:t>五）被担保人已进入重组、托管、兼并或破产清算程序的；</w:t>
      </w:r>
    </w:p>
    <w:p>
      <w:pPr>
        <w:pStyle w:val="13"/>
        <w:keepNext w:val="0"/>
        <w:keepLines w:val="0"/>
        <w:widowControl w:val="0"/>
        <w:shd w:val="clear" w:color="auto" w:fill="auto"/>
        <w:tabs>
          <w:tab w:val="left" w:pos="1453"/>
        </w:tabs>
        <w:bidi w:val="0"/>
        <w:spacing w:before="0" w:after="0" w:line="563" w:lineRule="exact"/>
        <w:ind w:left="0" w:right="0" w:firstLine="640"/>
        <w:jc w:val="both"/>
        <w:rPr>
          <w:rFonts w:hint="eastAsia" w:ascii="仿宋_GB2312" w:hAnsi="仿宋_GB2312" w:eastAsia="仿宋_GB2312" w:cs="仿宋_GB2312"/>
          <w:sz w:val="32"/>
          <w:szCs w:val="32"/>
        </w:rPr>
      </w:pPr>
      <w:bookmarkStart w:id="14" w:name="bookmark58"/>
      <w:r>
        <w:rPr>
          <w:rFonts w:hint="eastAsia" w:ascii="仿宋_GB2312" w:hAnsi="仿宋_GB2312" w:eastAsia="仿宋_GB2312" w:cs="仿宋_GB2312"/>
          <w:color w:val="000000"/>
          <w:spacing w:val="0"/>
          <w:w w:val="100"/>
          <w:position w:val="0"/>
          <w:sz w:val="32"/>
          <w:szCs w:val="32"/>
        </w:rPr>
        <w:t>（</w:t>
      </w:r>
      <w:bookmarkEnd w:id="14"/>
      <w:r>
        <w:rPr>
          <w:rFonts w:hint="eastAsia" w:ascii="仿宋_GB2312" w:hAnsi="仿宋_GB2312" w:eastAsia="仿宋_GB2312" w:cs="仿宋_GB2312"/>
          <w:color w:val="000000"/>
          <w:spacing w:val="0"/>
          <w:w w:val="100"/>
          <w:position w:val="0"/>
          <w:sz w:val="32"/>
          <w:szCs w:val="32"/>
        </w:rPr>
        <w:t>六）被担保人财务状况恶化、资不抵债、管理混乱、经营风险较大的；</w:t>
      </w:r>
    </w:p>
    <w:p>
      <w:pPr>
        <w:pStyle w:val="13"/>
        <w:keepNext w:val="0"/>
        <w:keepLines w:val="0"/>
        <w:widowControl w:val="0"/>
        <w:shd w:val="clear" w:color="auto" w:fill="auto"/>
        <w:tabs>
          <w:tab w:val="left" w:pos="1458"/>
        </w:tabs>
        <w:bidi w:val="0"/>
        <w:spacing w:before="0" w:after="0" w:line="563" w:lineRule="exact"/>
        <w:ind w:left="0" w:right="0" w:firstLine="640"/>
        <w:jc w:val="both"/>
        <w:rPr>
          <w:rFonts w:hint="eastAsia" w:ascii="仿宋_GB2312" w:hAnsi="仿宋_GB2312" w:eastAsia="仿宋_GB2312" w:cs="仿宋_GB2312"/>
          <w:sz w:val="32"/>
          <w:szCs w:val="32"/>
        </w:rPr>
      </w:pPr>
      <w:bookmarkStart w:id="15" w:name="bookmark59"/>
      <w:r>
        <w:rPr>
          <w:rFonts w:hint="eastAsia" w:ascii="仿宋_GB2312" w:hAnsi="仿宋_GB2312" w:eastAsia="仿宋_GB2312" w:cs="仿宋_GB2312"/>
          <w:color w:val="000000"/>
          <w:spacing w:val="0"/>
          <w:w w:val="100"/>
          <w:position w:val="0"/>
          <w:sz w:val="32"/>
          <w:szCs w:val="32"/>
        </w:rPr>
        <w:t>（</w:t>
      </w:r>
      <w:bookmarkEnd w:id="15"/>
      <w:r>
        <w:rPr>
          <w:rFonts w:hint="eastAsia" w:ascii="仿宋_GB2312" w:hAnsi="仿宋_GB2312" w:eastAsia="仿宋_GB2312" w:cs="仿宋_GB2312"/>
          <w:color w:val="000000"/>
          <w:spacing w:val="0"/>
          <w:w w:val="100"/>
          <w:position w:val="0"/>
          <w:sz w:val="32"/>
          <w:szCs w:val="32"/>
        </w:rPr>
        <w:t>七）被担保人存在较大经济纠纷，面临法律诉讼，可能承担较大赔偿责任的；</w:t>
      </w:r>
    </w:p>
    <w:p>
      <w:pPr>
        <w:pStyle w:val="13"/>
        <w:keepNext w:val="0"/>
        <w:keepLines w:val="0"/>
        <w:widowControl w:val="0"/>
        <w:shd w:val="clear" w:color="auto" w:fill="auto"/>
        <w:tabs>
          <w:tab w:val="left" w:pos="1462"/>
        </w:tabs>
        <w:bidi w:val="0"/>
        <w:spacing w:before="0" w:after="0" w:line="563" w:lineRule="exact"/>
        <w:ind w:left="0" w:right="0" w:firstLine="640"/>
        <w:jc w:val="both"/>
        <w:rPr>
          <w:rFonts w:hint="eastAsia" w:ascii="仿宋_GB2312" w:hAnsi="仿宋_GB2312" w:eastAsia="仿宋_GB2312" w:cs="仿宋_GB2312"/>
          <w:sz w:val="32"/>
          <w:szCs w:val="32"/>
        </w:rPr>
      </w:pPr>
      <w:bookmarkStart w:id="16" w:name="bookmark60"/>
      <w:r>
        <w:rPr>
          <w:rFonts w:hint="eastAsia" w:ascii="仿宋_GB2312" w:hAnsi="仿宋_GB2312" w:eastAsia="仿宋_GB2312" w:cs="仿宋_GB2312"/>
          <w:color w:val="000000"/>
          <w:spacing w:val="0"/>
          <w:w w:val="100"/>
          <w:position w:val="0"/>
          <w:sz w:val="32"/>
          <w:szCs w:val="32"/>
        </w:rPr>
        <w:t>（</w:t>
      </w:r>
      <w:bookmarkEnd w:id="16"/>
      <w:r>
        <w:rPr>
          <w:rFonts w:hint="eastAsia" w:ascii="仿宋_GB2312" w:hAnsi="仿宋_GB2312" w:eastAsia="仿宋_GB2312" w:cs="仿宋_GB2312"/>
          <w:color w:val="000000"/>
          <w:spacing w:val="0"/>
          <w:w w:val="100"/>
          <w:position w:val="0"/>
          <w:sz w:val="32"/>
          <w:szCs w:val="32"/>
        </w:rPr>
        <w:t>八）被担保人与担保人发生担保纠纷且仍未妥善解决的，或不能按约定及时足额交纳担保费用的；</w:t>
      </w:r>
    </w:p>
    <w:p>
      <w:pPr>
        <w:pStyle w:val="13"/>
        <w:keepNext w:val="0"/>
        <w:keepLines w:val="0"/>
        <w:widowControl w:val="0"/>
        <w:shd w:val="clear" w:color="auto" w:fill="auto"/>
        <w:tabs>
          <w:tab w:val="left" w:pos="1483"/>
        </w:tabs>
        <w:bidi w:val="0"/>
        <w:spacing w:before="0" w:after="0" w:line="563" w:lineRule="exact"/>
        <w:ind w:left="0" w:right="0" w:firstLine="640"/>
        <w:jc w:val="both"/>
        <w:rPr>
          <w:rFonts w:hint="eastAsia" w:ascii="仿宋_GB2312" w:hAnsi="仿宋_GB2312" w:eastAsia="仿宋_GB2312" w:cs="仿宋_GB2312"/>
          <w:sz w:val="32"/>
          <w:szCs w:val="32"/>
        </w:rPr>
      </w:pPr>
      <w:bookmarkStart w:id="17" w:name="bookmark61"/>
      <w:r>
        <w:rPr>
          <w:rFonts w:hint="eastAsia" w:ascii="仿宋_GB2312" w:hAnsi="仿宋_GB2312" w:eastAsia="仿宋_GB2312" w:cs="仿宋_GB2312"/>
          <w:color w:val="000000"/>
          <w:spacing w:val="0"/>
          <w:w w:val="100"/>
          <w:position w:val="0"/>
          <w:sz w:val="32"/>
          <w:szCs w:val="32"/>
        </w:rPr>
        <w:t>（</w:t>
      </w:r>
      <w:bookmarkEnd w:id="17"/>
      <w:r>
        <w:rPr>
          <w:rFonts w:hint="eastAsia" w:ascii="仿宋_GB2312" w:hAnsi="仿宋_GB2312" w:eastAsia="仿宋_GB2312" w:cs="仿宋_GB2312"/>
          <w:color w:val="000000"/>
          <w:spacing w:val="0"/>
          <w:w w:val="100"/>
          <w:position w:val="0"/>
          <w:sz w:val="32"/>
          <w:szCs w:val="32"/>
        </w:rPr>
        <w:t>九）其他可能影响可持续经营能力的情况。</w:t>
      </w:r>
    </w:p>
    <w:p>
      <w:pPr>
        <w:pStyle w:val="13"/>
        <w:keepNext w:val="0"/>
        <w:keepLines w:val="0"/>
        <w:widowControl w:val="0"/>
        <w:shd w:val="clear" w:color="auto" w:fill="auto"/>
        <w:bidi w:val="0"/>
        <w:spacing w:before="0" w:after="0" w:line="563" w:lineRule="exact"/>
        <w:ind w:left="0" w:right="0"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（十）为推进国有经济布局调整、国企改革重组、化解债务风险等重点工作，</w:t>
      </w:r>
      <w:r>
        <w:rPr>
          <w:rFonts w:hint="eastAsia" w:ascii="仿宋_GB2312" w:hAnsi="仿宋_GB2312" w:eastAsia="仿宋_GB2312" w:cs="仿宋_GB2312"/>
          <w:color w:val="000000"/>
          <w:spacing w:val="0"/>
          <w:w w:val="100"/>
          <w:position w:val="0"/>
          <w:sz w:val="32"/>
          <w:szCs w:val="32"/>
          <w:lang w:eastAsia="zh-CN"/>
        </w:rPr>
        <w:t>监管</w:t>
      </w:r>
      <w:r>
        <w:rPr>
          <w:rFonts w:hint="eastAsia" w:ascii="仿宋_GB2312" w:hAnsi="仿宋_GB2312" w:eastAsia="仿宋_GB2312" w:cs="仿宋_GB2312"/>
          <w:color w:val="000000"/>
          <w:spacing w:val="0"/>
          <w:w w:val="100"/>
          <w:position w:val="0"/>
          <w:sz w:val="32"/>
          <w:szCs w:val="32"/>
        </w:rPr>
        <w:t>企业为其他</w:t>
      </w:r>
      <w:r>
        <w:rPr>
          <w:rFonts w:hint="eastAsia" w:ascii="仿宋_GB2312" w:hAnsi="仿宋_GB2312" w:eastAsia="仿宋_GB2312" w:cs="仿宋_GB2312"/>
          <w:color w:val="000000"/>
          <w:spacing w:val="0"/>
          <w:w w:val="100"/>
          <w:position w:val="0"/>
          <w:sz w:val="32"/>
          <w:szCs w:val="32"/>
          <w:lang w:eastAsia="zh-CN"/>
        </w:rPr>
        <w:t>监管</w:t>
      </w:r>
      <w:r>
        <w:rPr>
          <w:rFonts w:hint="eastAsia" w:ascii="仿宋_GB2312" w:hAnsi="仿宋_GB2312" w:eastAsia="仿宋_GB2312" w:cs="仿宋_GB2312"/>
          <w:color w:val="000000"/>
          <w:spacing w:val="0"/>
          <w:w w:val="100"/>
          <w:position w:val="0"/>
          <w:sz w:val="32"/>
          <w:szCs w:val="32"/>
        </w:rPr>
        <w:t>企业或其所属企业提供的担保，经</w:t>
      </w:r>
      <w:r>
        <w:rPr>
          <w:rFonts w:hint="eastAsia" w:ascii="仿宋_GB2312" w:hAnsi="仿宋_GB2312" w:eastAsia="仿宋_GB2312" w:cs="仿宋_GB2312"/>
          <w:color w:val="000000"/>
          <w:spacing w:val="0"/>
          <w:w w:val="100"/>
          <w:position w:val="0"/>
          <w:sz w:val="32"/>
          <w:szCs w:val="32"/>
          <w:lang w:eastAsia="zh-CN"/>
        </w:rPr>
        <w:t>区</w:t>
      </w:r>
      <w:r>
        <w:rPr>
          <w:rFonts w:hint="eastAsia" w:ascii="仿宋_GB2312" w:hAnsi="仿宋_GB2312" w:eastAsia="仿宋_GB2312" w:cs="仿宋_GB2312"/>
          <w:color w:val="000000"/>
          <w:spacing w:val="0"/>
          <w:w w:val="100"/>
          <w:position w:val="0"/>
          <w:sz w:val="32"/>
          <w:szCs w:val="32"/>
        </w:rPr>
        <w:t>国资委核准后不受本条限制。</w:t>
      </w:r>
    </w:p>
    <w:p>
      <w:pPr>
        <w:pStyle w:val="13"/>
        <w:keepNext w:val="0"/>
        <w:keepLines w:val="0"/>
        <w:widowControl w:val="0"/>
        <w:shd w:val="clear" w:color="auto" w:fill="auto"/>
        <w:bidi w:val="0"/>
        <w:spacing w:before="0" w:after="0" w:line="563" w:lineRule="exact"/>
        <w:ind w:left="0" w:right="0"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rPr>
        <w:t>第九条</w:t>
      </w:r>
      <w:r>
        <w:rPr>
          <w:rFonts w:hint="eastAsia" w:ascii="仿宋_GB2312" w:hAnsi="仿宋_GB2312" w:eastAsia="仿宋_GB2312" w:cs="仿宋_GB2312"/>
          <w:b/>
          <w:bCs/>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lang w:eastAsia="zh-CN"/>
        </w:rPr>
        <w:t>监管</w:t>
      </w:r>
      <w:r>
        <w:rPr>
          <w:rFonts w:hint="eastAsia" w:ascii="仿宋_GB2312" w:hAnsi="仿宋_GB2312" w:eastAsia="仿宋_GB2312" w:cs="仿宋_GB2312"/>
          <w:color w:val="000000"/>
          <w:spacing w:val="0"/>
          <w:w w:val="100"/>
          <w:position w:val="0"/>
          <w:sz w:val="32"/>
          <w:szCs w:val="32"/>
        </w:rPr>
        <w:t>企业及所属企业委托银行等金融机构向不能实施控制的企业提供贷款时，不得同时再为该笔贷款提供担保。</w:t>
      </w:r>
    </w:p>
    <w:p>
      <w:pPr>
        <w:pStyle w:val="13"/>
        <w:keepNext w:val="0"/>
        <w:keepLines w:val="0"/>
        <w:widowControl w:val="0"/>
        <w:shd w:val="clear" w:color="auto" w:fill="auto"/>
        <w:bidi w:val="0"/>
        <w:spacing w:before="0" w:after="0" w:line="563" w:lineRule="exact"/>
        <w:ind w:left="0" w:right="0"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rPr>
        <w:t>第十条</w:t>
      </w:r>
      <w:r>
        <w:rPr>
          <w:rFonts w:hint="eastAsia" w:ascii="仿宋_GB2312" w:hAnsi="仿宋_GB2312" w:eastAsia="仿宋_GB2312" w:cs="仿宋_GB2312"/>
          <w:b/>
          <w:bCs/>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lang w:eastAsia="zh-CN"/>
        </w:rPr>
        <w:t>监管</w:t>
      </w:r>
      <w:r>
        <w:rPr>
          <w:rFonts w:hint="eastAsia" w:ascii="仿宋_GB2312" w:hAnsi="仿宋_GB2312" w:eastAsia="仿宋_GB2312" w:cs="仿宋_GB2312"/>
          <w:color w:val="000000"/>
          <w:spacing w:val="0"/>
          <w:w w:val="100"/>
          <w:position w:val="0"/>
          <w:sz w:val="32"/>
          <w:szCs w:val="32"/>
        </w:rPr>
        <w:t>企业及所属企业对外担保应符合下列要求：</w:t>
      </w:r>
    </w:p>
    <w:p>
      <w:pPr>
        <w:pStyle w:val="13"/>
        <w:keepNext w:val="0"/>
        <w:keepLines w:val="0"/>
        <w:widowControl w:val="0"/>
        <w:shd w:val="clear" w:color="auto" w:fill="auto"/>
        <w:tabs>
          <w:tab w:val="left" w:pos="1462"/>
        </w:tabs>
        <w:bidi w:val="0"/>
        <w:spacing w:before="0" w:after="0" w:line="563" w:lineRule="exact"/>
        <w:ind w:left="0" w:right="0" w:firstLine="640"/>
        <w:jc w:val="both"/>
        <w:rPr>
          <w:rFonts w:hint="eastAsia" w:ascii="仿宋_GB2312" w:hAnsi="仿宋_GB2312" w:eastAsia="仿宋_GB2312" w:cs="仿宋_GB2312"/>
          <w:sz w:val="32"/>
          <w:szCs w:val="32"/>
        </w:rPr>
      </w:pPr>
      <w:bookmarkStart w:id="18" w:name="bookmark62"/>
      <w:r>
        <w:rPr>
          <w:rFonts w:hint="eastAsia" w:ascii="仿宋_GB2312" w:hAnsi="仿宋_GB2312" w:eastAsia="仿宋_GB2312" w:cs="仿宋_GB2312"/>
          <w:color w:val="000000"/>
          <w:spacing w:val="0"/>
          <w:w w:val="100"/>
          <w:position w:val="0"/>
          <w:sz w:val="32"/>
          <w:szCs w:val="32"/>
        </w:rPr>
        <w:t>（</w:t>
      </w:r>
      <w:bookmarkEnd w:id="18"/>
      <w:r>
        <w:rPr>
          <w:rFonts w:hint="eastAsia" w:ascii="仿宋_GB2312" w:hAnsi="仿宋_GB2312" w:eastAsia="仿宋_GB2312" w:cs="仿宋_GB2312"/>
          <w:color w:val="000000"/>
          <w:spacing w:val="0"/>
          <w:w w:val="100"/>
          <w:position w:val="0"/>
          <w:sz w:val="32"/>
          <w:szCs w:val="32"/>
        </w:rPr>
        <w:t>一）</w:t>
      </w:r>
      <w:r>
        <w:rPr>
          <w:rFonts w:hint="eastAsia" w:ascii="仿宋_GB2312" w:hAnsi="仿宋_GB2312" w:eastAsia="仿宋_GB2312" w:cs="仿宋_GB2312"/>
          <w:color w:val="000000"/>
          <w:spacing w:val="0"/>
          <w:w w:val="100"/>
          <w:position w:val="0"/>
          <w:sz w:val="32"/>
          <w:szCs w:val="32"/>
          <w:lang w:eastAsia="zh-CN"/>
        </w:rPr>
        <w:t>监管</w:t>
      </w:r>
      <w:r>
        <w:rPr>
          <w:rFonts w:hint="eastAsia" w:ascii="仿宋_GB2312" w:hAnsi="仿宋_GB2312" w:eastAsia="仿宋_GB2312" w:cs="仿宋_GB2312"/>
          <w:color w:val="000000"/>
          <w:spacing w:val="0"/>
          <w:w w:val="100"/>
          <w:position w:val="0"/>
          <w:sz w:val="32"/>
          <w:szCs w:val="32"/>
        </w:rPr>
        <w:t>企业及所属企业为其他</w:t>
      </w:r>
      <w:r>
        <w:rPr>
          <w:rFonts w:hint="eastAsia" w:ascii="仿宋_GB2312" w:hAnsi="仿宋_GB2312" w:eastAsia="仿宋_GB2312" w:cs="仿宋_GB2312"/>
          <w:color w:val="000000"/>
          <w:spacing w:val="0"/>
          <w:w w:val="100"/>
          <w:position w:val="0"/>
          <w:sz w:val="32"/>
          <w:szCs w:val="32"/>
          <w:lang w:eastAsia="zh-CN"/>
        </w:rPr>
        <w:t>监管</w:t>
      </w:r>
      <w:r>
        <w:rPr>
          <w:rFonts w:hint="eastAsia" w:ascii="仿宋_GB2312" w:hAnsi="仿宋_GB2312" w:eastAsia="仿宋_GB2312" w:cs="仿宋_GB2312"/>
          <w:color w:val="000000"/>
          <w:spacing w:val="0"/>
          <w:w w:val="100"/>
          <w:position w:val="0"/>
          <w:sz w:val="32"/>
          <w:szCs w:val="32"/>
        </w:rPr>
        <w:t>企业或其所属企业提供对外担保时，应当协商一致，明确还款来源，避免风险传递。</w:t>
      </w:r>
    </w:p>
    <w:p>
      <w:pPr>
        <w:pStyle w:val="13"/>
        <w:keepNext w:val="0"/>
        <w:keepLines w:val="0"/>
        <w:widowControl w:val="0"/>
        <w:shd w:val="clear" w:color="auto" w:fill="auto"/>
        <w:tabs>
          <w:tab w:val="left" w:pos="1462"/>
        </w:tabs>
        <w:bidi w:val="0"/>
        <w:spacing w:before="0" w:after="0" w:line="563" w:lineRule="exact"/>
        <w:ind w:left="0" w:right="0" w:firstLine="640"/>
        <w:jc w:val="both"/>
        <w:rPr>
          <w:rFonts w:hint="eastAsia" w:ascii="仿宋_GB2312" w:hAnsi="仿宋_GB2312" w:eastAsia="仿宋_GB2312" w:cs="仿宋_GB2312"/>
          <w:sz w:val="32"/>
          <w:szCs w:val="32"/>
        </w:rPr>
      </w:pPr>
      <w:bookmarkStart w:id="19" w:name="bookmark63"/>
      <w:r>
        <w:rPr>
          <w:rFonts w:hint="eastAsia" w:ascii="仿宋_GB2312" w:hAnsi="仿宋_GB2312" w:eastAsia="仿宋_GB2312" w:cs="仿宋_GB2312"/>
          <w:color w:val="000000"/>
          <w:spacing w:val="0"/>
          <w:w w:val="100"/>
          <w:position w:val="0"/>
          <w:sz w:val="32"/>
          <w:szCs w:val="32"/>
        </w:rPr>
        <w:t>（</w:t>
      </w:r>
      <w:bookmarkEnd w:id="19"/>
      <w:r>
        <w:rPr>
          <w:rFonts w:hint="eastAsia" w:ascii="仿宋_GB2312" w:hAnsi="仿宋_GB2312" w:eastAsia="仿宋_GB2312" w:cs="仿宋_GB2312"/>
          <w:color w:val="000000"/>
          <w:spacing w:val="0"/>
          <w:w w:val="100"/>
          <w:position w:val="0"/>
          <w:sz w:val="32"/>
          <w:szCs w:val="32"/>
        </w:rPr>
        <w:t>二）与被担保人有股权关系时，担保金额应以担保融资额与持股比例的乘数为限，禁止超过持股比例提供担保。</w:t>
      </w:r>
    </w:p>
    <w:p>
      <w:pPr>
        <w:pStyle w:val="13"/>
        <w:keepNext w:val="0"/>
        <w:keepLines w:val="0"/>
        <w:widowControl w:val="0"/>
        <w:shd w:val="clear" w:color="auto" w:fill="auto"/>
        <w:bidi w:val="0"/>
        <w:spacing w:before="0" w:after="0" w:line="563" w:lineRule="exact"/>
        <w:ind w:left="0" w:right="0" w:firstLine="46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担保额度超过出资金额的部分，必须约定反担保，反担保不能有效覆盖担保风险的，一律不得提供担保。</w:t>
      </w:r>
    </w:p>
    <w:p>
      <w:pPr>
        <w:pStyle w:val="13"/>
        <w:keepNext w:val="0"/>
        <w:keepLines w:val="0"/>
        <w:widowControl w:val="0"/>
        <w:shd w:val="clear" w:color="auto" w:fill="auto"/>
        <w:tabs>
          <w:tab w:val="left" w:pos="1536"/>
        </w:tabs>
        <w:bidi w:val="0"/>
        <w:spacing w:before="0" w:after="0" w:line="565" w:lineRule="exact"/>
        <w:ind w:left="0" w:right="0" w:firstLine="660"/>
        <w:jc w:val="both"/>
        <w:rPr>
          <w:rFonts w:hint="eastAsia" w:ascii="仿宋_GB2312" w:hAnsi="仿宋_GB2312" w:eastAsia="仿宋_GB2312" w:cs="仿宋_GB2312"/>
          <w:sz w:val="32"/>
          <w:szCs w:val="32"/>
        </w:rPr>
      </w:pPr>
      <w:bookmarkStart w:id="20" w:name="bookmark64"/>
      <w:r>
        <w:rPr>
          <w:rFonts w:hint="eastAsia" w:ascii="仿宋_GB2312" w:hAnsi="仿宋_GB2312" w:eastAsia="仿宋_GB2312" w:cs="仿宋_GB2312"/>
          <w:color w:val="000000"/>
          <w:spacing w:val="0"/>
          <w:w w:val="100"/>
          <w:position w:val="0"/>
          <w:sz w:val="32"/>
          <w:szCs w:val="32"/>
        </w:rPr>
        <w:t>（</w:t>
      </w:r>
      <w:bookmarkEnd w:id="20"/>
      <w:r>
        <w:rPr>
          <w:rFonts w:hint="eastAsia" w:ascii="仿宋_GB2312" w:hAnsi="仿宋_GB2312" w:eastAsia="仿宋_GB2312" w:cs="仿宋_GB2312"/>
          <w:color w:val="000000"/>
          <w:spacing w:val="0"/>
          <w:w w:val="100"/>
          <w:position w:val="0"/>
          <w:sz w:val="32"/>
          <w:szCs w:val="32"/>
        </w:rPr>
        <w:t>三）无法实施控制、有股权关系企业的其他股东承担担保责任，监管企业及所属企业提供反担保时，反担保金额应以担保融资额与持股比例的乘数为限，不得超过持股比例提供反担保。</w:t>
      </w:r>
    </w:p>
    <w:p>
      <w:pPr>
        <w:pStyle w:val="13"/>
        <w:keepNext w:val="0"/>
        <w:keepLines w:val="0"/>
        <w:widowControl w:val="0"/>
        <w:shd w:val="clear" w:color="auto" w:fill="auto"/>
        <w:tabs>
          <w:tab w:val="left" w:pos="1536"/>
        </w:tabs>
        <w:bidi w:val="0"/>
        <w:spacing w:before="0" w:after="0" w:line="565" w:lineRule="exact"/>
        <w:ind w:left="0" w:right="0" w:firstLine="660"/>
        <w:jc w:val="both"/>
        <w:rPr>
          <w:rFonts w:hint="eastAsia" w:ascii="仿宋_GB2312" w:hAnsi="仿宋_GB2312" w:eastAsia="仿宋_GB2312" w:cs="仿宋_GB2312"/>
          <w:sz w:val="32"/>
          <w:szCs w:val="32"/>
        </w:rPr>
      </w:pPr>
      <w:bookmarkStart w:id="21" w:name="bookmark65"/>
      <w:r>
        <w:rPr>
          <w:rFonts w:hint="eastAsia" w:ascii="仿宋_GB2312" w:hAnsi="仿宋_GB2312" w:eastAsia="仿宋_GB2312" w:cs="仿宋_GB2312"/>
          <w:color w:val="000000"/>
          <w:spacing w:val="0"/>
          <w:w w:val="100"/>
          <w:position w:val="0"/>
          <w:sz w:val="32"/>
          <w:szCs w:val="32"/>
        </w:rPr>
        <w:t>（</w:t>
      </w:r>
      <w:bookmarkEnd w:id="21"/>
      <w:r>
        <w:rPr>
          <w:rFonts w:hint="eastAsia" w:ascii="仿宋_GB2312" w:hAnsi="仿宋_GB2312" w:eastAsia="仿宋_GB2312" w:cs="仿宋_GB2312"/>
          <w:color w:val="000000"/>
          <w:spacing w:val="0"/>
          <w:w w:val="100"/>
          <w:position w:val="0"/>
          <w:sz w:val="32"/>
          <w:szCs w:val="32"/>
        </w:rPr>
        <w:t>四）除本条第（一）款情形外，不得为无股权关系企业提供担保。</w:t>
      </w:r>
    </w:p>
    <w:p>
      <w:pPr>
        <w:pStyle w:val="13"/>
        <w:keepNext w:val="0"/>
        <w:keepLines w:val="0"/>
        <w:widowControl w:val="0"/>
        <w:shd w:val="clear" w:color="auto" w:fill="auto"/>
        <w:tabs>
          <w:tab w:val="left" w:pos="1536"/>
        </w:tabs>
        <w:bidi w:val="0"/>
        <w:spacing w:before="0" w:after="0" w:line="563" w:lineRule="exact"/>
        <w:ind w:left="0" w:right="0" w:firstLine="660"/>
        <w:jc w:val="both"/>
        <w:rPr>
          <w:rFonts w:hint="eastAsia" w:ascii="仿宋_GB2312" w:hAnsi="仿宋_GB2312" w:eastAsia="仿宋_GB2312" w:cs="仿宋_GB2312"/>
          <w:color w:val="000000"/>
          <w:spacing w:val="0"/>
          <w:w w:val="100"/>
          <w:position w:val="0"/>
          <w:sz w:val="32"/>
          <w:szCs w:val="32"/>
        </w:rPr>
      </w:pPr>
      <w:bookmarkStart w:id="22" w:name="bookmark66"/>
      <w:r>
        <w:rPr>
          <w:rFonts w:hint="eastAsia" w:ascii="仿宋_GB2312" w:hAnsi="仿宋_GB2312" w:eastAsia="仿宋_GB2312" w:cs="仿宋_GB2312"/>
          <w:color w:val="000000"/>
          <w:spacing w:val="0"/>
          <w:w w:val="100"/>
          <w:position w:val="0"/>
          <w:sz w:val="32"/>
          <w:szCs w:val="32"/>
        </w:rPr>
        <w:t>（</w:t>
      </w:r>
      <w:bookmarkEnd w:id="22"/>
      <w:r>
        <w:rPr>
          <w:rFonts w:hint="eastAsia" w:ascii="仿宋_GB2312" w:hAnsi="仿宋_GB2312" w:eastAsia="仿宋_GB2312" w:cs="仿宋_GB2312"/>
          <w:color w:val="000000"/>
          <w:spacing w:val="0"/>
          <w:w w:val="100"/>
          <w:position w:val="0"/>
          <w:sz w:val="32"/>
          <w:szCs w:val="32"/>
        </w:rPr>
        <w:t>五）因全</w:t>
      </w:r>
      <w:r>
        <w:rPr>
          <w:rFonts w:hint="eastAsia" w:ascii="仿宋_GB2312" w:hAnsi="仿宋_GB2312" w:eastAsia="仿宋_GB2312" w:cs="仿宋_GB2312"/>
          <w:color w:val="000000"/>
          <w:spacing w:val="0"/>
          <w:w w:val="100"/>
          <w:position w:val="0"/>
          <w:sz w:val="32"/>
          <w:szCs w:val="32"/>
          <w:lang w:eastAsia="zh-CN"/>
        </w:rPr>
        <w:t>区</w:t>
      </w:r>
      <w:r>
        <w:rPr>
          <w:rFonts w:hint="eastAsia" w:ascii="仿宋_GB2312" w:hAnsi="仿宋_GB2312" w:eastAsia="仿宋_GB2312" w:cs="仿宋_GB2312"/>
          <w:color w:val="000000"/>
          <w:spacing w:val="0"/>
          <w:w w:val="100"/>
          <w:position w:val="0"/>
          <w:sz w:val="32"/>
          <w:szCs w:val="32"/>
        </w:rPr>
        <w:t>重大项目、重要任务或国资国企改革发展重点工作，确需为无股权关系企业提供担保、超出持股比例担保、担保额度超过出资额度的，必须约定反担保或对超出持股比例部分、超过出资金额部分约定反担保，反担保不能有效覆盖担保风险的, 一律不得提供担保。</w:t>
      </w:r>
    </w:p>
    <w:p>
      <w:pPr>
        <w:pStyle w:val="13"/>
        <w:keepNext w:val="0"/>
        <w:keepLines w:val="0"/>
        <w:widowControl w:val="0"/>
        <w:shd w:val="clear" w:color="auto" w:fill="auto"/>
        <w:bidi w:val="0"/>
        <w:spacing w:before="0" w:after="0" w:line="563" w:lineRule="exact"/>
        <w:ind w:left="0" w:right="0" w:firstLine="62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pacing w:val="0"/>
          <w:w w:val="100"/>
          <w:position w:val="0"/>
          <w:sz w:val="32"/>
          <w:szCs w:val="32"/>
        </w:rPr>
        <w:t>第十一条</w:t>
      </w:r>
      <w:r>
        <w:rPr>
          <w:rFonts w:hint="eastAsia" w:ascii="仿宋_GB2312" w:hAnsi="仿宋_GB2312" w:eastAsia="仿宋_GB2312" w:cs="仿宋_GB2312"/>
          <w:b/>
          <w:bCs/>
          <w:color w:val="000000"/>
          <w:spacing w:val="0"/>
          <w:w w:val="100"/>
          <w:position w:val="0"/>
          <w:sz w:val="32"/>
          <w:szCs w:val="32"/>
          <w:lang w:val="en-US" w:eastAsia="zh-CN"/>
        </w:rPr>
        <w:t xml:space="preserve"> </w:t>
      </w:r>
      <w:r>
        <w:rPr>
          <w:rFonts w:hint="eastAsia" w:ascii="仿宋_GB2312" w:hAnsi="仿宋_GB2312" w:eastAsia="仿宋_GB2312" w:cs="仿宋_GB2312"/>
          <w:b w:val="0"/>
          <w:bCs w:val="0"/>
          <w:color w:val="000000"/>
          <w:spacing w:val="0"/>
          <w:w w:val="100"/>
          <w:position w:val="0"/>
          <w:sz w:val="32"/>
          <w:szCs w:val="32"/>
        </w:rPr>
        <w:t>下列国有资产不得设置抵押或质押担保：</w:t>
      </w:r>
    </w:p>
    <w:p>
      <w:pPr>
        <w:pStyle w:val="13"/>
        <w:keepNext w:val="0"/>
        <w:keepLines w:val="0"/>
        <w:widowControl w:val="0"/>
        <w:shd w:val="clear" w:color="auto" w:fill="auto"/>
        <w:tabs>
          <w:tab w:val="left" w:pos="1643"/>
        </w:tabs>
        <w:bidi w:val="0"/>
        <w:spacing w:before="0" w:after="0" w:line="563" w:lineRule="exact"/>
        <w:ind w:left="0" w:right="0" w:firstLine="800"/>
        <w:jc w:val="both"/>
        <w:rPr>
          <w:rFonts w:hint="eastAsia" w:ascii="仿宋_GB2312" w:hAnsi="仿宋_GB2312" w:eastAsia="仿宋_GB2312" w:cs="仿宋_GB2312"/>
          <w:sz w:val="32"/>
          <w:szCs w:val="32"/>
        </w:rPr>
      </w:pPr>
      <w:bookmarkStart w:id="23" w:name="bookmark67"/>
      <w:r>
        <w:rPr>
          <w:rFonts w:hint="eastAsia" w:ascii="仿宋_GB2312" w:hAnsi="仿宋_GB2312" w:eastAsia="仿宋_GB2312" w:cs="仿宋_GB2312"/>
          <w:color w:val="000000"/>
          <w:spacing w:val="0"/>
          <w:w w:val="100"/>
          <w:position w:val="0"/>
          <w:sz w:val="32"/>
          <w:szCs w:val="32"/>
        </w:rPr>
        <w:t>（</w:t>
      </w:r>
      <w:bookmarkEnd w:id="23"/>
      <w:r>
        <w:rPr>
          <w:rFonts w:hint="eastAsia" w:ascii="仿宋_GB2312" w:hAnsi="仿宋_GB2312" w:eastAsia="仿宋_GB2312" w:cs="仿宋_GB2312"/>
          <w:color w:val="000000"/>
          <w:spacing w:val="0"/>
          <w:w w:val="100"/>
          <w:position w:val="0"/>
          <w:sz w:val="32"/>
          <w:szCs w:val="32"/>
        </w:rPr>
        <w:t>一）未按照规定办理企业国有资产产权登记证的；</w:t>
      </w:r>
    </w:p>
    <w:p>
      <w:pPr>
        <w:pStyle w:val="13"/>
        <w:keepNext w:val="0"/>
        <w:keepLines w:val="0"/>
        <w:widowControl w:val="0"/>
        <w:shd w:val="clear" w:color="auto" w:fill="auto"/>
        <w:tabs>
          <w:tab w:val="left" w:pos="1648"/>
        </w:tabs>
        <w:bidi w:val="0"/>
        <w:spacing w:before="0" w:after="0" w:line="565" w:lineRule="exact"/>
        <w:ind w:left="0" w:right="0" w:firstLine="800"/>
        <w:jc w:val="both"/>
        <w:rPr>
          <w:rFonts w:hint="eastAsia" w:ascii="仿宋_GB2312" w:hAnsi="仿宋_GB2312" w:eastAsia="仿宋_GB2312" w:cs="仿宋_GB2312"/>
          <w:sz w:val="32"/>
          <w:szCs w:val="32"/>
        </w:rPr>
      </w:pPr>
      <w:bookmarkStart w:id="24" w:name="bookmark68"/>
      <w:r>
        <w:rPr>
          <w:rFonts w:hint="eastAsia" w:ascii="仿宋_GB2312" w:hAnsi="仿宋_GB2312" w:eastAsia="仿宋_GB2312" w:cs="仿宋_GB2312"/>
          <w:color w:val="000000"/>
          <w:spacing w:val="0"/>
          <w:w w:val="100"/>
          <w:position w:val="0"/>
          <w:sz w:val="32"/>
          <w:szCs w:val="32"/>
        </w:rPr>
        <w:t>（</w:t>
      </w:r>
      <w:bookmarkEnd w:id="24"/>
      <w:r>
        <w:rPr>
          <w:rFonts w:hint="eastAsia" w:ascii="仿宋_GB2312" w:hAnsi="仿宋_GB2312" w:eastAsia="仿宋_GB2312" w:cs="仿宋_GB2312"/>
          <w:color w:val="000000"/>
          <w:spacing w:val="0"/>
          <w:w w:val="100"/>
          <w:position w:val="0"/>
          <w:sz w:val="32"/>
          <w:szCs w:val="32"/>
        </w:rPr>
        <w:t>二）所有权、使用权不明或者有争议的国有资产；</w:t>
      </w:r>
    </w:p>
    <w:p>
      <w:pPr>
        <w:pStyle w:val="13"/>
        <w:keepNext w:val="0"/>
        <w:keepLines w:val="0"/>
        <w:widowControl w:val="0"/>
        <w:shd w:val="clear" w:color="auto" w:fill="auto"/>
        <w:tabs>
          <w:tab w:val="left" w:pos="1648"/>
        </w:tabs>
        <w:bidi w:val="0"/>
        <w:spacing w:before="0" w:after="0" w:line="565" w:lineRule="exact"/>
        <w:ind w:left="0" w:right="0" w:firstLine="800"/>
        <w:jc w:val="both"/>
        <w:rPr>
          <w:rFonts w:hint="eastAsia" w:ascii="仿宋_GB2312" w:hAnsi="仿宋_GB2312" w:eastAsia="仿宋_GB2312" w:cs="仿宋_GB2312"/>
          <w:sz w:val="32"/>
          <w:szCs w:val="32"/>
        </w:rPr>
      </w:pPr>
      <w:bookmarkStart w:id="25" w:name="bookmark69"/>
      <w:r>
        <w:rPr>
          <w:rFonts w:hint="eastAsia" w:ascii="仿宋_GB2312" w:hAnsi="仿宋_GB2312" w:eastAsia="仿宋_GB2312" w:cs="仿宋_GB2312"/>
          <w:color w:val="000000"/>
          <w:spacing w:val="0"/>
          <w:w w:val="100"/>
          <w:position w:val="0"/>
          <w:sz w:val="32"/>
          <w:szCs w:val="32"/>
        </w:rPr>
        <w:t>（</w:t>
      </w:r>
      <w:bookmarkEnd w:id="25"/>
      <w:r>
        <w:rPr>
          <w:rFonts w:hint="eastAsia" w:ascii="仿宋_GB2312" w:hAnsi="仿宋_GB2312" w:eastAsia="仿宋_GB2312" w:cs="仿宋_GB2312"/>
          <w:color w:val="000000"/>
          <w:spacing w:val="0"/>
          <w:w w:val="100"/>
          <w:position w:val="0"/>
          <w:sz w:val="32"/>
          <w:szCs w:val="32"/>
        </w:rPr>
        <w:t>三）依法被查封、扣押、监管的国有资产；</w:t>
      </w:r>
    </w:p>
    <w:p>
      <w:pPr>
        <w:pStyle w:val="13"/>
        <w:keepNext w:val="0"/>
        <w:keepLines w:val="0"/>
        <w:widowControl w:val="0"/>
        <w:shd w:val="clear" w:color="auto" w:fill="auto"/>
        <w:tabs>
          <w:tab w:val="left" w:pos="1648"/>
        </w:tabs>
        <w:bidi w:val="0"/>
        <w:spacing w:before="0" w:after="0" w:line="565" w:lineRule="exact"/>
        <w:ind w:left="0" w:right="0" w:firstLine="800"/>
        <w:jc w:val="both"/>
        <w:rPr>
          <w:rFonts w:hint="eastAsia" w:ascii="仿宋_GB2312" w:hAnsi="仿宋_GB2312" w:eastAsia="仿宋_GB2312" w:cs="仿宋_GB2312"/>
          <w:sz w:val="32"/>
          <w:szCs w:val="32"/>
        </w:rPr>
      </w:pPr>
      <w:bookmarkStart w:id="26" w:name="bookmark70"/>
      <w:r>
        <w:rPr>
          <w:rFonts w:hint="eastAsia" w:ascii="仿宋_GB2312" w:hAnsi="仿宋_GB2312" w:eastAsia="仿宋_GB2312" w:cs="仿宋_GB2312"/>
          <w:color w:val="000000"/>
          <w:spacing w:val="0"/>
          <w:w w:val="100"/>
          <w:position w:val="0"/>
          <w:sz w:val="32"/>
          <w:szCs w:val="32"/>
        </w:rPr>
        <w:t>（</w:t>
      </w:r>
      <w:bookmarkEnd w:id="26"/>
      <w:r>
        <w:rPr>
          <w:rFonts w:hint="eastAsia" w:ascii="仿宋_GB2312" w:hAnsi="仿宋_GB2312" w:eastAsia="仿宋_GB2312" w:cs="仿宋_GB2312"/>
          <w:color w:val="000000"/>
          <w:spacing w:val="0"/>
          <w:w w:val="100"/>
          <w:position w:val="0"/>
          <w:sz w:val="32"/>
          <w:szCs w:val="32"/>
        </w:rPr>
        <w:t>四）依法不得抵押或质押的其他国有资产。</w:t>
      </w:r>
    </w:p>
    <w:p>
      <w:pPr>
        <w:pStyle w:val="13"/>
        <w:keepNext w:val="0"/>
        <w:keepLines w:val="0"/>
        <w:widowControl w:val="0"/>
        <w:shd w:val="clear" w:color="auto" w:fill="auto"/>
        <w:bidi w:val="0"/>
        <w:spacing w:before="0" w:after="0" w:line="565" w:lineRule="exact"/>
        <w:ind w:left="0" w:right="0" w:firstLine="660"/>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rPr>
        <w:t>第十二条</w:t>
      </w:r>
      <w:r>
        <w:rPr>
          <w:rFonts w:hint="eastAsia" w:ascii="仿宋_GB2312" w:hAnsi="仿宋_GB2312" w:eastAsia="仿宋_GB2312" w:cs="仿宋_GB2312"/>
          <w:b/>
          <w:bCs/>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监管企业及所属企业以抵押或质押提供担保的，依照法律程序将抵押物或质押物折价、拍卖或变卖处理时，抵押或质押物应依法进行资产评估，评估结果应按照有关规定办理核准或备案手续。</w:t>
      </w:r>
    </w:p>
    <w:p>
      <w:pPr>
        <w:pStyle w:val="13"/>
        <w:keepNext w:val="0"/>
        <w:keepLines w:val="0"/>
        <w:widowControl w:val="0"/>
        <w:shd w:val="clear" w:color="auto" w:fill="auto"/>
        <w:bidi w:val="0"/>
        <w:spacing w:before="0" w:after="0" w:line="565" w:lineRule="exact"/>
        <w:ind w:left="0" w:right="0" w:firstLine="660"/>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rPr>
        <w:t>第十三条</w:t>
      </w:r>
      <w:r>
        <w:rPr>
          <w:rFonts w:hint="eastAsia" w:ascii="仿宋_GB2312" w:hAnsi="仿宋_GB2312" w:eastAsia="仿宋_GB2312" w:cs="仿宋_GB2312"/>
          <w:color w:val="000000"/>
          <w:spacing w:val="0"/>
          <w:w w:val="100"/>
          <w:position w:val="0"/>
          <w:sz w:val="32"/>
          <w:szCs w:val="32"/>
        </w:rPr>
        <w:t xml:space="preserve"> 监管企业及所属企业以上市公司国有股权质押担保，按照国家及市有关规定执行。</w:t>
      </w:r>
    </w:p>
    <w:p>
      <w:pPr>
        <w:pStyle w:val="13"/>
        <w:keepNext w:val="0"/>
        <w:keepLines w:val="0"/>
        <w:widowControl w:val="0"/>
        <w:shd w:val="clear" w:color="auto" w:fill="auto"/>
        <w:bidi w:val="0"/>
        <w:spacing w:before="0" w:after="0" w:line="565" w:lineRule="exact"/>
        <w:ind w:left="0" w:right="0" w:firstLine="660"/>
        <w:jc w:val="left"/>
        <w:rPr>
          <w:rFonts w:hint="eastAsia" w:ascii="仿宋_GB2312" w:hAnsi="仿宋_GB2312" w:eastAsia="仿宋_GB2312" w:cs="仿宋_GB2312"/>
          <w:sz w:val="32"/>
          <w:szCs w:val="32"/>
        </w:rPr>
        <w:sectPr>
          <w:footerReference r:id="rId3" w:type="default"/>
          <w:footerReference r:id="rId4" w:type="even"/>
          <w:footnotePr>
            <w:numFmt w:val="decimal"/>
          </w:footnotePr>
          <w:pgSz w:w="11900" w:h="16840"/>
          <w:pgMar w:top="1440" w:right="1800" w:bottom="1440" w:left="1800" w:header="0" w:footer="3" w:gutter="0"/>
          <w:cols w:space="720" w:num="1"/>
          <w:rtlGutter w:val="0"/>
          <w:docGrid w:linePitch="360" w:charSpace="0"/>
        </w:sectPr>
      </w:pPr>
      <w:r>
        <w:rPr>
          <w:rFonts w:hint="eastAsia" w:ascii="仿宋_GB2312" w:hAnsi="仿宋_GB2312" w:eastAsia="仿宋_GB2312" w:cs="仿宋_GB2312"/>
          <w:b/>
          <w:bCs/>
          <w:color w:val="000000"/>
          <w:spacing w:val="0"/>
          <w:w w:val="100"/>
          <w:position w:val="0"/>
          <w:sz w:val="32"/>
          <w:szCs w:val="32"/>
        </w:rPr>
        <w:t>第十四条</w:t>
      </w:r>
      <w:r>
        <w:rPr>
          <w:rFonts w:hint="eastAsia" w:ascii="仿宋_GB2312" w:hAnsi="仿宋_GB2312" w:eastAsia="仿宋_GB2312" w:cs="仿宋_GB2312"/>
          <w:b/>
          <w:bCs/>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监管企业及所属企业向境外企业提供担保，应符合国家的有关规定；禁止为不能实施控制的境外企业提供担保。</w:t>
      </w:r>
    </w:p>
    <w:p>
      <w:pPr>
        <w:pStyle w:val="13"/>
        <w:keepNext w:val="0"/>
        <w:keepLines w:val="0"/>
        <w:widowControl w:val="0"/>
        <w:shd w:val="clear" w:color="auto" w:fill="auto"/>
        <w:bidi w:val="0"/>
        <w:spacing w:before="0" w:after="560" w:line="564" w:lineRule="exact"/>
        <w:ind w:left="0" w:right="0" w:firstLine="0"/>
        <w:jc w:val="center"/>
        <w:rPr>
          <w:rFonts w:hint="eastAsia" w:ascii="黑体" w:hAnsi="黑体" w:eastAsia="黑体" w:cs="黑体"/>
          <w:b/>
          <w:bCs/>
          <w:color w:val="000000"/>
          <w:spacing w:val="0"/>
          <w:w w:val="100"/>
          <w:position w:val="0"/>
          <w:sz w:val="32"/>
          <w:szCs w:val="32"/>
        </w:rPr>
      </w:pPr>
      <w:r>
        <w:rPr>
          <w:rFonts w:hint="eastAsia" w:ascii="黑体" w:hAnsi="黑体" w:eastAsia="黑体" w:cs="黑体"/>
          <w:b/>
          <w:bCs/>
          <w:color w:val="000000"/>
          <w:spacing w:val="0"/>
          <w:w w:val="100"/>
          <w:position w:val="0"/>
          <w:sz w:val="32"/>
          <w:szCs w:val="32"/>
        </w:rPr>
        <w:t>第三章</w:t>
      </w:r>
      <w:r>
        <w:rPr>
          <w:rFonts w:hint="eastAsia" w:ascii="黑体" w:hAnsi="黑体" w:eastAsia="黑体" w:cs="黑体"/>
          <w:b/>
          <w:bCs/>
          <w:color w:val="000000"/>
          <w:spacing w:val="0"/>
          <w:w w:val="100"/>
          <w:position w:val="0"/>
          <w:sz w:val="32"/>
          <w:szCs w:val="32"/>
          <w:lang w:eastAsia="zh-CN"/>
        </w:rPr>
        <w:t>　</w:t>
      </w:r>
      <w:r>
        <w:rPr>
          <w:rFonts w:hint="eastAsia" w:ascii="黑体" w:hAnsi="黑体" w:eastAsia="黑体" w:cs="黑体"/>
          <w:b/>
          <w:bCs/>
          <w:color w:val="000000"/>
          <w:spacing w:val="0"/>
          <w:w w:val="100"/>
          <w:position w:val="0"/>
          <w:sz w:val="32"/>
          <w:szCs w:val="32"/>
        </w:rPr>
        <w:t>程序和权限</w:t>
      </w:r>
    </w:p>
    <w:p>
      <w:pPr>
        <w:pStyle w:val="13"/>
        <w:keepNext w:val="0"/>
        <w:keepLines w:val="0"/>
        <w:widowControl w:val="0"/>
        <w:shd w:val="clear" w:color="auto" w:fill="auto"/>
        <w:bidi w:val="0"/>
        <w:spacing w:before="0" w:after="0" w:line="565" w:lineRule="exact"/>
        <w:ind w:left="0" w:right="0" w:firstLine="760"/>
        <w:jc w:val="both"/>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rPr>
        <w:t>第十五条</w:t>
      </w:r>
      <w:r>
        <w:rPr>
          <w:rFonts w:hint="eastAsia" w:ascii="仿宋_GB2312" w:hAnsi="仿宋_GB2312" w:eastAsia="仿宋_GB2312" w:cs="仿宋_GB2312"/>
          <w:b/>
          <w:bCs/>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监管企业及所属企业接到被担保人的担保申请后，应当对担保项目的基本情况和被担保人的资产质量、经营情况、偿债能力、盈利水平、信用程度及行业前景等资信状况进行调查，评估担保风险。</w:t>
      </w:r>
    </w:p>
    <w:p>
      <w:pPr>
        <w:pStyle w:val="13"/>
        <w:keepNext w:val="0"/>
        <w:keepLines w:val="0"/>
        <w:widowControl w:val="0"/>
        <w:shd w:val="clear" w:color="auto" w:fill="auto"/>
        <w:bidi w:val="0"/>
        <w:spacing w:before="0" w:after="0" w:line="565" w:lineRule="exact"/>
        <w:ind w:left="0" w:right="0" w:firstLine="760"/>
        <w:jc w:val="both"/>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rPr>
        <w:t>第十六条</w:t>
      </w:r>
      <w:r>
        <w:rPr>
          <w:rFonts w:hint="eastAsia" w:ascii="仿宋_GB2312" w:hAnsi="仿宋_GB2312" w:eastAsia="仿宋_GB2312" w:cs="仿宋_GB2312"/>
          <w:b/>
          <w:bCs/>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监管企业及所属企业提供担保应依照公司章程的 规定由董事会（未设董事会为经理办公会，下同）决议。</w:t>
      </w:r>
    </w:p>
    <w:p>
      <w:pPr>
        <w:pStyle w:val="13"/>
        <w:keepNext w:val="0"/>
        <w:keepLines w:val="0"/>
        <w:widowControl w:val="0"/>
        <w:shd w:val="clear" w:color="auto" w:fill="auto"/>
        <w:bidi w:val="0"/>
        <w:spacing w:before="0" w:after="0" w:line="565" w:lineRule="exact"/>
        <w:ind w:left="0" w:right="0" w:firstLine="760"/>
        <w:jc w:val="both"/>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rPr>
        <w:t xml:space="preserve">第十七条 </w:t>
      </w:r>
      <w:r>
        <w:rPr>
          <w:rFonts w:hint="eastAsia" w:ascii="仿宋_GB2312" w:hAnsi="仿宋_GB2312" w:eastAsia="仿宋_GB2312" w:cs="仿宋_GB2312"/>
          <w:color w:val="000000"/>
          <w:spacing w:val="0"/>
          <w:w w:val="100"/>
          <w:position w:val="0"/>
          <w:sz w:val="32"/>
          <w:szCs w:val="32"/>
        </w:rPr>
        <w:t>监管企业的对外担保应当报</w:t>
      </w:r>
      <w:r>
        <w:rPr>
          <w:rFonts w:hint="eastAsia" w:ascii="仿宋_GB2312" w:hAnsi="仿宋_GB2312" w:eastAsia="仿宋_GB2312" w:cs="仿宋_GB2312"/>
          <w:color w:val="000000"/>
          <w:spacing w:val="0"/>
          <w:w w:val="100"/>
          <w:position w:val="0"/>
          <w:sz w:val="32"/>
          <w:szCs w:val="32"/>
          <w:lang w:eastAsia="zh-CN"/>
        </w:rPr>
        <w:t>区</w:t>
      </w:r>
      <w:r>
        <w:rPr>
          <w:rFonts w:hint="eastAsia" w:ascii="仿宋_GB2312" w:hAnsi="仿宋_GB2312" w:eastAsia="仿宋_GB2312" w:cs="仿宋_GB2312"/>
          <w:color w:val="000000"/>
          <w:spacing w:val="0"/>
          <w:w w:val="100"/>
          <w:position w:val="0"/>
          <w:sz w:val="32"/>
          <w:szCs w:val="32"/>
        </w:rPr>
        <w:t>国资委核准，并提交以下材料：</w:t>
      </w:r>
    </w:p>
    <w:p>
      <w:pPr>
        <w:pStyle w:val="13"/>
        <w:keepNext w:val="0"/>
        <w:keepLines w:val="0"/>
        <w:widowControl w:val="0"/>
        <w:shd w:val="clear" w:color="auto" w:fill="auto"/>
        <w:tabs>
          <w:tab w:val="left" w:pos="1626"/>
        </w:tabs>
        <w:bidi w:val="0"/>
        <w:spacing w:before="0" w:after="0" w:line="565" w:lineRule="exact"/>
        <w:ind w:left="0" w:right="0" w:firstLine="760"/>
        <w:jc w:val="both"/>
        <w:rPr>
          <w:rFonts w:hint="eastAsia" w:ascii="仿宋_GB2312" w:hAnsi="仿宋_GB2312" w:eastAsia="仿宋_GB2312" w:cs="仿宋_GB2312"/>
          <w:sz w:val="32"/>
          <w:szCs w:val="32"/>
        </w:rPr>
      </w:pPr>
      <w:bookmarkStart w:id="27" w:name="bookmark71"/>
      <w:r>
        <w:rPr>
          <w:rFonts w:hint="eastAsia" w:ascii="仿宋_GB2312" w:hAnsi="仿宋_GB2312" w:eastAsia="仿宋_GB2312" w:cs="仿宋_GB2312"/>
          <w:color w:val="000000"/>
          <w:spacing w:val="0"/>
          <w:w w:val="100"/>
          <w:position w:val="0"/>
          <w:sz w:val="32"/>
          <w:szCs w:val="32"/>
        </w:rPr>
        <w:t>（</w:t>
      </w:r>
      <w:bookmarkEnd w:id="27"/>
      <w:r>
        <w:rPr>
          <w:rFonts w:hint="eastAsia" w:ascii="仿宋_GB2312" w:hAnsi="仿宋_GB2312" w:eastAsia="仿宋_GB2312" w:cs="仿宋_GB2312"/>
          <w:color w:val="000000"/>
          <w:spacing w:val="0"/>
          <w:w w:val="100"/>
          <w:position w:val="0"/>
          <w:sz w:val="32"/>
          <w:szCs w:val="32"/>
        </w:rPr>
        <w:t>一）被担保人关于担保事项的请示，应包括但不限于被担保人基本情况、财务状况，盈利能力、资信水平，担保事由、担 保方式、金额和期限、被担保项目情况、担保风险评价及内部审核意见等；</w:t>
      </w:r>
    </w:p>
    <w:p>
      <w:pPr>
        <w:pStyle w:val="13"/>
        <w:keepNext w:val="0"/>
        <w:keepLines w:val="0"/>
        <w:widowControl w:val="0"/>
        <w:shd w:val="clear" w:color="auto" w:fill="auto"/>
        <w:tabs>
          <w:tab w:val="left" w:pos="1608"/>
        </w:tabs>
        <w:bidi w:val="0"/>
        <w:spacing w:before="0" w:after="0" w:line="565" w:lineRule="exact"/>
        <w:ind w:left="0" w:right="0" w:firstLine="760"/>
        <w:jc w:val="both"/>
        <w:rPr>
          <w:rFonts w:hint="eastAsia" w:ascii="仿宋_GB2312" w:hAnsi="仿宋_GB2312" w:eastAsia="仿宋_GB2312" w:cs="仿宋_GB2312"/>
          <w:sz w:val="32"/>
          <w:szCs w:val="32"/>
        </w:rPr>
      </w:pPr>
      <w:bookmarkStart w:id="28" w:name="bookmark72"/>
      <w:r>
        <w:rPr>
          <w:rFonts w:hint="eastAsia" w:ascii="仿宋_GB2312" w:hAnsi="仿宋_GB2312" w:eastAsia="仿宋_GB2312" w:cs="仿宋_GB2312"/>
          <w:color w:val="000000"/>
          <w:spacing w:val="0"/>
          <w:w w:val="100"/>
          <w:position w:val="0"/>
          <w:sz w:val="32"/>
          <w:szCs w:val="32"/>
        </w:rPr>
        <w:t>（</w:t>
      </w:r>
      <w:bookmarkEnd w:id="28"/>
      <w:r>
        <w:rPr>
          <w:rFonts w:hint="eastAsia" w:ascii="仿宋_GB2312" w:hAnsi="仿宋_GB2312" w:eastAsia="仿宋_GB2312" w:cs="仿宋_GB2312"/>
          <w:color w:val="000000"/>
          <w:spacing w:val="0"/>
          <w:w w:val="100"/>
          <w:position w:val="0"/>
          <w:sz w:val="32"/>
          <w:szCs w:val="32"/>
        </w:rPr>
        <w:t>二）董事会同意担保的书面决议；</w:t>
      </w:r>
    </w:p>
    <w:p>
      <w:pPr>
        <w:pStyle w:val="13"/>
        <w:keepNext w:val="0"/>
        <w:keepLines w:val="0"/>
        <w:widowControl w:val="0"/>
        <w:shd w:val="clear" w:color="auto" w:fill="auto"/>
        <w:tabs>
          <w:tab w:val="left" w:pos="1621"/>
        </w:tabs>
        <w:bidi w:val="0"/>
        <w:spacing w:before="0" w:after="0" w:line="565" w:lineRule="exact"/>
        <w:ind w:left="0" w:right="0" w:firstLine="760"/>
        <w:jc w:val="both"/>
        <w:rPr>
          <w:rFonts w:hint="eastAsia" w:ascii="仿宋_GB2312" w:hAnsi="仿宋_GB2312" w:eastAsia="仿宋_GB2312" w:cs="仿宋_GB2312"/>
          <w:sz w:val="32"/>
          <w:szCs w:val="32"/>
        </w:rPr>
      </w:pPr>
      <w:bookmarkStart w:id="29" w:name="bookmark73"/>
      <w:r>
        <w:rPr>
          <w:rFonts w:hint="eastAsia" w:ascii="仿宋_GB2312" w:hAnsi="仿宋_GB2312" w:eastAsia="仿宋_GB2312" w:cs="仿宋_GB2312"/>
          <w:color w:val="000000"/>
          <w:spacing w:val="0"/>
          <w:w w:val="100"/>
          <w:position w:val="0"/>
          <w:sz w:val="32"/>
          <w:szCs w:val="32"/>
        </w:rPr>
        <w:t>（</w:t>
      </w:r>
      <w:bookmarkEnd w:id="29"/>
      <w:r>
        <w:rPr>
          <w:rFonts w:hint="eastAsia" w:ascii="仿宋_GB2312" w:hAnsi="仿宋_GB2312" w:eastAsia="仿宋_GB2312" w:cs="仿宋_GB2312"/>
          <w:color w:val="000000"/>
          <w:spacing w:val="0"/>
          <w:w w:val="100"/>
          <w:position w:val="0"/>
          <w:sz w:val="32"/>
          <w:szCs w:val="32"/>
        </w:rPr>
        <w:t>三）企业法律顾问或律师事务所审核担保、反担保及相关合同后出具的法律意见书；</w:t>
      </w:r>
    </w:p>
    <w:p>
      <w:pPr>
        <w:pStyle w:val="13"/>
        <w:keepNext w:val="0"/>
        <w:keepLines w:val="0"/>
        <w:widowControl w:val="0"/>
        <w:shd w:val="clear" w:color="auto" w:fill="auto"/>
        <w:tabs>
          <w:tab w:val="left" w:pos="1613"/>
        </w:tabs>
        <w:bidi w:val="0"/>
        <w:spacing w:before="0" w:after="0" w:line="565" w:lineRule="exact"/>
        <w:ind w:left="0" w:right="0" w:firstLine="760"/>
        <w:jc w:val="both"/>
        <w:rPr>
          <w:rFonts w:hint="eastAsia" w:ascii="仿宋_GB2312" w:hAnsi="仿宋_GB2312" w:eastAsia="仿宋_GB2312" w:cs="仿宋_GB2312"/>
          <w:sz w:val="32"/>
          <w:szCs w:val="32"/>
        </w:rPr>
      </w:pPr>
      <w:bookmarkStart w:id="30" w:name="bookmark74"/>
      <w:r>
        <w:rPr>
          <w:rFonts w:hint="eastAsia" w:ascii="仿宋_GB2312" w:hAnsi="仿宋_GB2312" w:eastAsia="仿宋_GB2312" w:cs="仿宋_GB2312"/>
          <w:color w:val="000000"/>
          <w:spacing w:val="0"/>
          <w:w w:val="100"/>
          <w:position w:val="0"/>
          <w:sz w:val="32"/>
          <w:szCs w:val="32"/>
        </w:rPr>
        <w:t>（</w:t>
      </w:r>
      <w:bookmarkEnd w:id="30"/>
      <w:r>
        <w:rPr>
          <w:rFonts w:hint="eastAsia" w:ascii="仿宋_GB2312" w:hAnsi="仿宋_GB2312" w:eastAsia="仿宋_GB2312" w:cs="仿宋_GB2312"/>
          <w:color w:val="000000"/>
          <w:spacing w:val="0"/>
          <w:w w:val="100"/>
          <w:position w:val="0"/>
          <w:sz w:val="32"/>
          <w:szCs w:val="32"/>
        </w:rPr>
        <w:t>四）按规定需约定反担保的，提供反担保有关文件；</w:t>
      </w:r>
    </w:p>
    <w:p>
      <w:pPr>
        <w:pStyle w:val="13"/>
        <w:keepNext w:val="0"/>
        <w:keepLines w:val="0"/>
        <w:widowControl w:val="0"/>
        <w:shd w:val="clear" w:color="auto" w:fill="auto"/>
        <w:tabs>
          <w:tab w:val="left" w:pos="1613"/>
        </w:tabs>
        <w:bidi w:val="0"/>
        <w:spacing w:before="0" w:after="0" w:line="565" w:lineRule="exact"/>
        <w:ind w:left="0" w:right="0" w:firstLine="760"/>
        <w:jc w:val="both"/>
        <w:rPr>
          <w:rFonts w:hint="eastAsia" w:ascii="仿宋_GB2312" w:hAnsi="仿宋_GB2312" w:eastAsia="仿宋_GB2312" w:cs="仿宋_GB2312"/>
          <w:sz w:val="32"/>
          <w:szCs w:val="32"/>
        </w:rPr>
      </w:pPr>
      <w:bookmarkStart w:id="31" w:name="bookmark75"/>
      <w:r>
        <w:rPr>
          <w:rFonts w:hint="eastAsia" w:ascii="仿宋_GB2312" w:hAnsi="仿宋_GB2312" w:eastAsia="仿宋_GB2312" w:cs="仿宋_GB2312"/>
          <w:color w:val="000000"/>
          <w:spacing w:val="0"/>
          <w:w w:val="100"/>
          <w:position w:val="0"/>
          <w:sz w:val="32"/>
          <w:szCs w:val="32"/>
        </w:rPr>
        <w:t>（</w:t>
      </w:r>
      <w:bookmarkEnd w:id="31"/>
      <w:r>
        <w:rPr>
          <w:rFonts w:hint="eastAsia" w:ascii="仿宋_GB2312" w:hAnsi="仿宋_GB2312" w:eastAsia="仿宋_GB2312" w:cs="仿宋_GB2312"/>
          <w:color w:val="000000"/>
          <w:spacing w:val="0"/>
          <w:w w:val="100"/>
          <w:position w:val="0"/>
          <w:sz w:val="32"/>
          <w:szCs w:val="32"/>
        </w:rPr>
        <w:t>五）担保双方最近一期和上一年年末经审计的会计报表；</w:t>
      </w:r>
    </w:p>
    <w:p>
      <w:pPr>
        <w:pStyle w:val="13"/>
        <w:keepNext w:val="0"/>
        <w:keepLines w:val="0"/>
        <w:widowControl w:val="0"/>
        <w:shd w:val="clear" w:color="auto" w:fill="auto"/>
        <w:tabs>
          <w:tab w:val="left" w:pos="1613"/>
        </w:tabs>
        <w:bidi w:val="0"/>
        <w:spacing w:before="0" w:after="0" w:line="565" w:lineRule="exact"/>
        <w:ind w:left="0" w:right="0" w:firstLine="760"/>
        <w:jc w:val="both"/>
        <w:rPr>
          <w:rFonts w:hint="eastAsia" w:ascii="仿宋_GB2312" w:hAnsi="仿宋_GB2312" w:eastAsia="仿宋_GB2312" w:cs="仿宋_GB2312"/>
          <w:sz w:val="32"/>
          <w:szCs w:val="32"/>
        </w:rPr>
      </w:pPr>
      <w:bookmarkStart w:id="32" w:name="bookmark76"/>
      <w:r>
        <w:rPr>
          <w:rFonts w:hint="eastAsia" w:ascii="仿宋_GB2312" w:hAnsi="仿宋_GB2312" w:eastAsia="仿宋_GB2312" w:cs="仿宋_GB2312"/>
          <w:color w:val="000000"/>
          <w:spacing w:val="0"/>
          <w:w w:val="100"/>
          <w:position w:val="0"/>
          <w:sz w:val="32"/>
          <w:szCs w:val="32"/>
        </w:rPr>
        <w:t>（</w:t>
      </w:r>
      <w:bookmarkEnd w:id="32"/>
      <w:r>
        <w:rPr>
          <w:rFonts w:hint="eastAsia" w:ascii="仿宋_GB2312" w:hAnsi="仿宋_GB2312" w:eastAsia="仿宋_GB2312" w:cs="仿宋_GB2312"/>
          <w:color w:val="000000"/>
          <w:spacing w:val="0"/>
          <w:w w:val="100"/>
          <w:position w:val="0"/>
          <w:sz w:val="32"/>
          <w:szCs w:val="32"/>
        </w:rPr>
        <w:t>六）《</w:t>
      </w:r>
      <w:r>
        <w:rPr>
          <w:rFonts w:hint="eastAsia" w:ascii="仿宋_GB2312" w:hAnsi="仿宋_GB2312" w:eastAsia="仿宋_GB2312" w:cs="仿宋_GB2312"/>
          <w:color w:val="000000"/>
          <w:spacing w:val="0"/>
          <w:w w:val="100"/>
          <w:position w:val="0"/>
          <w:sz w:val="32"/>
          <w:szCs w:val="32"/>
          <w:lang w:eastAsia="zh-CN"/>
        </w:rPr>
        <w:t>蓟州区</w:t>
      </w:r>
      <w:r>
        <w:rPr>
          <w:rFonts w:hint="eastAsia" w:ascii="仿宋_GB2312" w:hAnsi="仿宋_GB2312" w:eastAsia="仿宋_GB2312" w:cs="仿宋_GB2312"/>
          <w:color w:val="000000"/>
          <w:spacing w:val="0"/>
          <w:w w:val="100"/>
          <w:position w:val="0"/>
          <w:sz w:val="32"/>
          <w:szCs w:val="32"/>
        </w:rPr>
        <w:t>国资委监管企业对外担保事项核准表》；</w:t>
      </w:r>
    </w:p>
    <w:p>
      <w:pPr>
        <w:pStyle w:val="13"/>
        <w:keepNext w:val="0"/>
        <w:keepLines w:val="0"/>
        <w:widowControl w:val="0"/>
        <w:shd w:val="clear" w:color="auto" w:fill="auto"/>
        <w:tabs>
          <w:tab w:val="left" w:pos="1604"/>
        </w:tabs>
        <w:bidi w:val="0"/>
        <w:spacing w:before="0" w:after="0" w:line="565" w:lineRule="exact"/>
        <w:ind w:left="0" w:right="0" w:firstLine="760"/>
        <w:jc w:val="both"/>
        <w:rPr>
          <w:rFonts w:hint="eastAsia" w:ascii="仿宋_GB2312" w:hAnsi="仿宋_GB2312" w:eastAsia="仿宋_GB2312" w:cs="仿宋_GB2312"/>
          <w:sz w:val="32"/>
          <w:szCs w:val="32"/>
        </w:rPr>
      </w:pPr>
      <w:bookmarkStart w:id="33" w:name="bookmark77"/>
      <w:r>
        <w:rPr>
          <w:rFonts w:hint="eastAsia" w:ascii="仿宋_GB2312" w:hAnsi="仿宋_GB2312" w:eastAsia="仿宋_GB2312" w:cs="仿宋_GB2312"/>
          <w:color w:val="000000"/>
          <w:spacing w:val="0"/>
          <w:w w:val="100"/>
          <w:position w:val="0"/>
          <w:sz w:val="32"/>
          <w:szCs w:val="32"/>
        </w:rPr>
        <w:t>（</w:t>
      </w:r>
      <w:bookmarkEnd w:id="33"/>
      <w:r>
        <w:rPr>
          <w:rFonts w:hint="eastAsia" w:ascii="仿宋_GB2312" w:hAnsi="仿宋_GB2312" w:eastAsia="仿宋_GB2312" w:cs="仿宋_GB2312"/>
          <w:color w:val="000000"/>
          <w:spacing w:val="0"/>
          <w:w w:val="100"/>
          <w:position w:val="0"/>
          <w:sz w:val="32"/>
          <w:szCs w:val="32"/>
        </w:rPr>
        <w:t>七）要求提交的其他材料。</w:t>
      </w:r>
    </w:p>
    <w:p>
      <w:pPr>
        <w:pStyle w:val="13"/>
        <w:keepNext w:val="0"/>
        <w:keepLines w:val="0"/>
        <w:widowControl w:val="0"/>
        <w:shd w:val="clear" w:color="auto" w:fill="auto"/>
        <w:bidi w:val="0"/>
        <w:spacing w:before="0" w:after="200" w:line="565" w:lineRule="exact"/>
        <w:ind w:left="0" w:right="0" w:firstLine="620"/>
        <w:jc w:val="both"/>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rPr>
        <w:t>第十八条</w:t>
      </w:r>
      <w:r>
        <w:rPr>
          <w:rFonts w:hint="eastAsia" w:ascii="仿宋_GB2312" w:hAnsi="仿宋_GB2312" w:eastAsia="仿宋_GB2312" w:cs="仿宋_GB2312"/>
          <w:color w:val="000000"/>
          <w:spacing w:val="0"/>
          <w:w w:val="100"/>
          <w:position w:val="0"/>
          <w:sz w:val="32"/>
          <w:szCs w:val="32"/>
        </w:rPr>
        <w:t xml:space="preserve"> 监管企业对外担保的续保应按照本办法规定重新向</w:t>
      </w:r>
      <w:r>
        <w:rPr>
          <w:rFonts w:hint="eastAsia" w:ascii="仿宋_GB2312" w:hAnsi="仿宋_GB2312" w:eastAsia="仿宋_GB2312" w:cs="仿宋_GB2312"/>
          <w:color w:val="000000"/>
          <w:spacing w:val="0"/>
          <w:w w:val="100"/>
          <w:position w:val="0"/>
          <w:sz w:val="32"/>
          <w:szCs w:val="32"/>
          <w:lang w:eastAsia="zh-CN"/>
        </w:rPr>
        <w:t>区</w:t>
      </w:r>
      <w:r>
        <w:rPr>
          <w:rFonts w:hint="eastAsia" w:ascii="仿宋_GB2312" w:hAnsi="仿宋_GB2312" w:eastAsia="仿宋_GB2312" w:cs="仿宋_GB2312"/>
          <w:color w:val="000000"/>
          <w:spacing w:val="0"/>
          <w:w w:val="100"/>
          <w:position w:val="0"/>
          <w:sz w:val="32"/>
          <w:szCs w:val="32"/>
        </w:rPr>
        <w:t>国资委履行核准程序。</w:t>
      </w:r>
    </w:p>
    <w:p>
      <w:pPr>
        <w:pStyle w:val="13"/>
        <w:keepNext w:val="0"/>
        <w:keepLines w:val="0"/>
        <w:widowControl w:val="0"/>
        <w:shd w:val="clear" w:color="auto" w:fill="auto"/>
        <w:bidi w:val="0"/>
        <w:spacing w:before="0" w:after="200" w:line="565" w:lineRule="exact"/>
        <w:ind w:left="0" w:right="0" w:firstLine="620"/>
        <w:jc w:val="both"/>
        <w:rPr>
          <w:rFonts w:hint="eastAsia" w:ascii="黑体" w:hAnsi="黑体" w:eastAsia="黑体" w:cs="黑体"/>
          <w:b/>
          <w:bCs/>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eastAsia="zh-CN"/>
        </w:rPr>
        <w:t>　　　　　　　　　　</w:t>
      </w:r>
      <w:r>
        <w:rPr>
          <w:rFonts w:hint="eastAsia" w:ascii="黑体" w:hAnsi="黑体" w:eastAsia="黑体" w:cs="黑体"/>
          <w:b/>
          <w:bCs/>
          <w:color w:val="000000"/>
          <w:spacing w:val="0"/>
          <w:w w:val="100"/>
          <w:position w:val="0"/>
          <w:sz w:val="32"/>
          <w:szCs w:val="32"/>
        </w:rPr>
        <w:t>第四章</w:t>
      </w:r>
      <w:r>
        <w:rPr>
          <w:rFonts w:hint="eastAsia" w:ascii="黑体" w:hAnsi="黑体" w:eastAsia="黑体" w:cs="黑体"/>
          <w:b/>
          <w:bCs/>
          <w:color w:val="000000"/>
          <w:spacing w:val="0"/>
          <w:w w:val="100"/>
          <w:position w:val="0"/>
          <w:sz w:val="32"/>
          <w:szCs w:val="32"/>
          <w:lang w:eastAsia="zh-CN"/>
        </w:rPr>
        <w:t>　</w:t>
      </w:r>
      <w:r>
        <w:rPr>
          <w:rFonts w:hint="eastAsia" w:ascii="黑体" w:hAnsi="黑体" w:eastAsia="黑体" w:cs="黑体"/>
          <w:b/>
          <w:bCs/>
          <w:color w:val="000000"/>
          <w:spacing w:val="0"/>
          <w:w w:val="100"/>
          <w:position w:val="0"/>
          <w:sz w:val="32"/>
          <w:szCs w:val="32"/>
        </w:rPr>
        <w:t>反担保</w:t>
      </w:r>
    </w:p>
    <w:p>
      <w:pPr>
        <w:pStyle w:val="13"/>
        <w:keepNext w:val="0"/>
        <w:keepLines w:val="0"/>
        <w:widowControl w:val="0"/>
        <w:shd w:val="clear" w:color="auto" w:fill="auto"/>
        <w:bidi w:val="0"/>
        <w:spacing w:before="0" w:after="0" w:line="559" w:lineRule="exact"/>
        <w:ind w:left="0" w:right="0"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rPr>
        <w:t>第十九条</w:t>
      </w:r>
      <w:r>
        <w:rPr>
          <w:rFonts w:hint="eastAsia" w:ascii="仿宋_GB2312" w:hAnsi="仿宋_GB2312" w:eastAsia="仿宋_GB2312" w:cs="仿宋_GB2312"/>
          <w:b/>
          <w:bCs/>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监管企业及所属企业应依据所提供担保的风险程度和反担保人的财务状况、履约能力来确定接受反担保的方式。</w:t>
      </w:r>
    </w:p>
    <w:p>
      <w:pPr>
        <w:pStyle w:val="13"/>
        <w:keepNext w:val="0"/>
        <w:keepLines w:val="0"/>
        <w:widowControl w:val="0"/>
        <w:shd w:val="clear" w:color="auto" w:fill="auto"/>
        <w:tabs>
          <w:tab w:val="left" w:pos="1635"/>
        </w:tabs>
        <w:bidi w:val="0"/>
        <w:spacing w:before="0" w:after="0" w:line="559" w:lineRule="exact"/>
        <w:ind w:left="0" w:right="0" w:firstLine="820"/>
        <w:jc w:val="both"/>
        <w:rPr>
          <w:rFonts w:hint="eastAsia" w:ascii="仿宋_GB2312" w:hAnsi="仿宋_GB2312" w:eastAsia="仿宋_GB2312" w:cs="仿宋_GB2312"/>
          <w:sz w:val="32"/>
          <w:szCs w:val="32"/>
        </w:rPr>
      </w:pPr>
      <w:bookmarkStart w:id="34" w:name="bookmark78"/>
      <w:r>
        <w:rPr>
          <w:rFonts w:hint="eastAsia" w:ascii="仿宋_GB2312" w:hAnsi="仿宋_GB2312" w:eastAsia="仿宋_GB2312" w:cs="仿宋_GB2312"/>
          <w:color w:val="000000"/>
          <w:spacing w:val="0"/>
          <w:w w:val="100"/>
          <w:position w:val="0"/>
          <w:sz w:val="32"/>
          <w:szCs w:val="32"/>
        </w:rPr>
        <w:t>（</w:t>
      </w:r>
      <w:bookmarkEnd w:id="34"/>
      <w:r>
        <w:rPr>
          <w:rFonts w:hint="eastAsia" w:ascii="仿宋_GB2312" w:hAnsi="仿宋_GB2312" w:eastAsia="仿宋_GB2312" w:cs="仿宋_GB2312"/>
          <w:color w:val="000000"/>
          <w:spacing w:val="0"/>
          <w:w w:val="100"/>
          <w:position w:val="0"/>
          <w:sz w:val="32"/>
          <w:szCs w:val="32"/>
        </w:rPr>
        <w:t>一）保证反担保。担保人不得接受被担保人以保证的方式提供的反担保。保证反担保应由被担保人之外的第三方提供，第 三方应具有独立法人资格、资信可靠、财务状况良好，具有偿债能力，无重大债权债务纠纷。</w:t>
      </w:r>
    </w:p>
    <w:p>
      <w:pPr>
        <w:pStyle w:val="13"/>
        <w:keepNext w:val="0"/>
        <w:keepLines w:val="0"/>
        <w:widowControl w:val="0"/>
        <w:shd w:val="clear" w:color="auto" w:fill="auto"/>
        <w:tabs>
          <w:tab w:val="left" w:pos="1673"/>
        </w:tabs>
        <w:bidi w:val="0"/>
        <w:spacing w:before="0" w:after="0" w:line="559" w:lineRule="exact"/>
        <w:ind w:left="0" w:right="0" w:firstLine="820"/>
        <w:jc w:val="both"/>
        <w:rPr>
          <w:rFonts w:hint="eastAsia" w:ascii="仿宋_GB2312" w:hAnsi="仿宋_GB2312" w:eastAsia="仿宋_GB2312" w:cs="仿宋_GB2312"/>
          <w:sz w:val="32"/>
          <w:szCs w:val="32"/>
        </w:rPr>
      </w:pPr>
      <w:bookmarkStart w:id="35" w:name="bookmark79"/>
      <w:r>
        <w:rPr>
          <w:rFonts w:hint="eastAsia" w:ascii="仿宋_GB2312" w:hAnsi="仿宋_GB2312" w:eastAsia="仿宋_GB2312" w:cs="仿宋_GB2312"/>
          <w:color w:val="000000"/>
          <w:spacing w:val="0"/>
          <w:w w:val="100"/>
          <w:position w:val="0"/>
          <w:sz w:val="32"/>
          <w:szCs w:val="32"/>
        </w:rPr>
        <w:t>（</w:t>
      </w:r>
      <w:bookmarkEnd w:id="35"/>
      <w:r>
        <w:rPr>
          <w:rFonts w:hint="eastAsia" w:ascii="仿宋_GB2312" w:hAnsi="仿宋_GB2312" w:eastAsia="仿宋_GB2312" w:cs="仿宋_GB2312"/>
          <w:color w:val="000000"/>
          <w:spacing w:val="0"/>
          <w:w w:val="100"/>
          <w:position w:val="0"/>
          <w:sz w:val="32"/>
          <w:szCs w:val="32"/>
        </w:rPr>
        <w:t>二）抵押反担保。抵押物必须是所有权、使用权明确且没有争议的资产，依法被查封、扣押、监管的资产和已设定抵押的 资产不能再抵押。抵押物应当进行资产评估并到相应主管部门办 理抵押登记。</w:t>
      </w:r>
    </w:p>
    <w:p>
      <w:pPr>
        <w:pStyle w:val="13"/>
        <w:keepNext w:val="0"/>
        <w:keepLines w:val="0"/>
        <w:widowControl w:val="0"/>
        <w:shd w:val="clear" w:color="auto" w:fill="auto"/>
        <w:tabs>
          <w:tab w:val="left" w:pos="1630"/>
        </w:tabs>
        <w:bidi w:val="0"/>
        <w:spacing w:before="0" w:after="0" w:line="559" w:lineRule="exact"/>
        <w:ind w:left="0" w:right="0" w:firstLine="820"/>
        <w:jc w:val="both"/>
        <w:rPr>
          <w:rFonts w:hint="eastAsia" w:ascii="仿宋_GB2312" w:hAnsi="仿宋_GB2312" w:eastAsia="仿宋_GB2312" w:cs="仿宋_GB2312"/>
          <w:sz w:val="32"/>
          <w:szCs w:val="32"/>
        </w:rPr>
      </w:pPr>
      <w:bookmarkStart w:id="36" w:name="bookmark80"/>
      <w:r>
        <w:rPr>
          <w:rFonts w:hint="eastAsia" w:ascii="仿宋_GB2312" w:hAnsi="仿宋_GB2312" w:eastAsia="仿宋_GB2312" w:cs="仿宋_GB2312"/>
          <w:color w:val="000000"/>
          <w:spacing w:val="0"/>
          <w:w w:val="100"/>
          <w:position w:val="0"/>
          <w:sz w:val="32"/>
          <w:szCs w:val="32"/>
        </w:rPr>
        <w:t>（</w:t>
      </w:r>
      <w:bookmarkEnd w:id="36"/>
      <w:r>
        <w:rPr>
          <w:rFonts w:hint="eastAsia" w:ascii="仿宋_GB2312" w:hAnsi="仿宋_GB2312" w:eastAsia="仿宋_GB2312" w:cs="仿宋_GB2312"/>
          <w:color w:val="000000"/>
          <w:spacing w:val="0"/>
          <w:w w:val="100"/>
          <w:position w:val="0"/>
          <w:sz w:val="32"/>
          <w:szCs w:val="32"/>
        </w:rPr>
        <w:t>三）质押反担保。质押物必须是所有权明确、不涉及诉讼或争议、且未设定质押的动产、有价证券、应收款项、股权等资 产。质押物应进行评估并到相应主管部门办理质押登记。</w:t>
      </w:r>
    </w:p>
    <w:p>
      <w:pPr>
        <w:pStyle w:val="13"/>
        <w:keepNext w:val="0"/>
        <w:keepLines w:val="0"/>
        <w:widowControl w:val="0"/>
        <w:shd w:val="clear" w:color="auto" w:fill="auto"/>
        <w:bidi w:val="0"/>
        <w:spacing w:before="0" w:after="0" w:line="559" w:lineRule="exact"/>
        <w:ind w:left="0" w:right="0"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rPr>
        <w:t>第二十条</w:t>
      </w:r>
      <w:r>
        <w:rPr>
          <w:rFonts w:hint="eastAsia" w:ascii="仿宋_GB2312" w:hAnsi="仿宋_GB2312" w:eastAsia="仿宋_GB2312" w:cs="仿宋_GB2312"/>
          <w:b/>
          <w:bCs/>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为利用国际金融组织贷款及外国政府贷款提供的 反担保，应符合国家有关规定。</w:t>
      </w:r>
    </w:p>
    <w:p>
      <w:pPr>
        <w:pStyle w:val="13"/>
        <w:keepNext w:val="0"/>
        <w:keepLines w:val="0"/>
        <w:widowControl w:val="0"/>
        <w:shd w:val="clear" w:color="auto" w:fill="auto"/>
        <w:bidi w:val="0"/>
        <w:spacing w:before="0" w:after="540" w:line="559" w:lineRule="exact"/>
        <w:ind w:left="0" w:right="0" w:firstLine="500"/>
        <w:jc w:val="both"/>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rPr>
        <w:t>第二十一条</w:t>
      </w:r>
      <w:r>
        <w:rPr>
          <w:rFonts w:hint="eastAsia" w:ascii="仿宋_GB2312" w:hAnsi="仿宋_GB2312" w:eastAsia="仿宋_GB2312" w:cs="仿宋_GB2312"/>
          <w:b/>
          <w:bCs/>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监管企业及所属企业要切实加强对反担保标的物的跟踪管理，定期核实标的物存续状况和价值，发现问题及时处理，确保标的物安全、完整。</w:t>
      </w:r>
    </w:p>
    <w:p>
      <w:pPr>
        <w:pStyle w:val="13"/>
        <w:keepNext w:val="0"/>
        <w:keepLines w:val="0"/>
        <w:widowControl w:val="0"/>
        <w:shd w:val="clear" w:color="auto" w:fill="auto"/>
        <w:bidi w:val="0"/>
        <w:spacing w:before="0" w:after="540" w:line="559" w:lineRule="exact"/>
        <w:ind w:left="0" w:right="0" w:firstLine="500"/>
        <w:jc w:val="both"/>
        <w:rPr>
          <w:rFonts w:hint="eastAsia" w:ascii="黑体" w:hAnsi="黑体" w:eastAsia="黑体" w:cs="黑体"/>
          <w:b/>
          <w:bCs/>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eastAsia="zh-CN"/>
        </w:rPr>
        <w:t>　　　　　　　</w:t>
      </w:r>
      <w:r>
        <w:rPr>
          <w:rFonts w:hint="eastAsia" w:ascii="黑体" w:hAnsi="黑体" w:eastAsia="黑体" w:cs="黑体"/>
          <w:b/>
          <w:bCs/>
          <w:color w:val="000000"/>
          <w:spacing w:val="0"/>
          <w:w w:val="100"/>
          <w:position w:val="0"/>
          <w:sz w:val="32"/>
          <w:szCs w:val="32"/>
        </w:rPr>
        <w:t>第五章</w:t>
      </w:r>
      <w:r>
        <w:rPr>
          <w:rFonts w:hint="eastAsia" w:ascii="黑体" w:hAnsi="黑体" w:eastAsia="黑体" w:cs="黑体"/>
          <w:b/>
          <w:bCs/>
          <w:color w:val="000000"/>
          <w:spacing w:val="0"/>
          <w:w w:val="100"/>
          <w:position w:val="0"/>
          <w:sz w:val="32"/>
          <w:szCs w:val="32"/>
          <w:lang w:val="en-US" w:eastAsia="zh-CN"/>
        </w:rPr>
        <w:t xml:space="preserve">  </w:t>
      </w:r>
      <w:r>
        <w:rPr>
          <w:rFonts w:hint="eastAsia" w:ascii="黑体" w:hAnsi="黑体" w:eastAsia="黑体" w:cs="黑体"/>
          <w:b/>
          <w:bCs/>
          <w:color w:val="000000"/>
          <w:spacing w:val="0"/>
          <w:w w:val="100"/>
          <w:position w:val="0"/>
          <w:sz w:val="32"/>
          <w:szCs w:val="32"/>
        </w:rPr>
        <w:t>日常管理和监督检查</w:t>
      </w:r>
    </w:p>
    <w:p>
      <w:pPr>
        <w:pStyle w:val="13"/>
        <w:keepNext w:val="0"/>
        <w:keepLines w:val="0"/>
        <w:widowControl w:val="0"/>
        <w:shd w:val="clear" w:color="auto" w:fill="auto"/>
        <w:bidi w:val="0"/>
        <w:spacing w:before="0" w:after="0" w:line="559" w:lineRule="exact"/>
        <w:ind w:left="0" w:right="0"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rPr>
        <w:t>第二十二条</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监管企业统筹管理自身及所属企业的担保事项，在强化集中管控、提升整体信用能力的同时，应当本着总体规模可控、风险适当分散的原则，平衡自身与所属企业承担的担保责任，对所属企业的担保管理不得层层放权，一放到底。</w:t>
      </w:r>
    </w:p>
    <w:p>
      <w:pPr>
        <w:pStyle w:val="13"/>
        <w:keepNext w:val="0"/>
        <w:keepLines w:val="0"/>
        <w:widowControl w:val="0"/>
        <w:shd w:val="clear" w:color="auto" w:fill="auto"/>
        <w:bidi w:val="0"/>
        <w:spacing w:before="0" w:after="0" w:line="574" w:lineRule="exact"/>
        <w:ind w:left="0" w:right="0"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rPr>
        <w:t>第二十三条</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监管企业及所属企业应当建立担保管理制度，规范决策程序，明确允许担保的对象、范围、方式、条件、限额和禁止等事项，规范调查评估、担保合同执行等工作。</w:t>
      </w:r>
    </w:p>
    <w:p>
      <w:pPr>
        <w:pStyle w:val="13"/>
        <w:keepNext w:val="0"/>
        <w:keepLines w:val="0"/>
        <w:widowControl w:val="0"/>
        <w:shd w:val="clear" w:color="auto" w:fill="auto"/>
        <w:bidi w:val="0"/>
        <w:spacing w:before="0" w:after="0" w:line="600" w:lineRule="exact"/>
        <w:ind w:left="0" w:right="0"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rPr>
        <w:t>第二十四条</w:t>
      </w:r>
      <w:r>
        <w:rPr>
          <w:rFonts w:hint="eastAsia" w:ascii="仿宋_GB2312" w:hAnsi="仿宋_GB2312" w:eastAsia="仿宋_GB2312" w:cs="仿宋_GB2312"/>
          <w:b/>
          <w:bCs/>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监管企业及所属企业应当明确担保事项的管理 部门和责任人员，加强担保事项的基础管理：</w:t>
      </w:r>
    </w:p>
    <w:p>
      <w:pPr>
        <w:pStyle w:val="13"/>
        <w:keepNext w:val="0"/>
        <w:keepLines w:val="0"/>
        <w:widowControl w:val="0"/>
        <w:shd w:val="clear" w:color="auto" w:fill="auto"/>
        <w:tabs>
          <w:tab w:val="left" w:pos="1621"/>
        </w:tabs>
        <w:bidi w:val="0"/>
        <w:spacing w:before="0" w:after="0" w:line="565" w:lineRule="exact"/>
        <w:ind w:left="0" w:right="0" w:firstLine="780"/>
        <w:jc w:val="both"/>
        <w:rPr>
          <w:rFonts w:hint="eastAsia" w:ascii="仿宋_GB2312" w:hAnsi="仿宋_GB2312" w:eastAsia="仿宋_GB2312" w:cs="仿宋_GB2312"/>
          <w:sz w:val="32"/>
          <w:szCs w:val="32"/>
        </w:rPr>
      </w:pPr>
      <w:bookmarkStart w:id="37" w:name="bookmark81"/>
      <w:r>
        <w:rPr>
          <w:rFonts w:hint="eastAsia" w:ascii="仿宋_GB2312" w:hAnsi="仿宋_GB2312" w:eastAsia="仿宋_GB2312" w:cs="仿宋_GB2312"/>
          <w:color w:val="000000"/>
          <w:spacing w:val="0"/>
          <w:w w:val="100"/>
          <w:position w:val="0"/>
          <w:sz w:val="32"/>
          <w:szCs w:val="32"/>
        </w:rPr>
        <w:t>（</w:t>
      </w:r>
      <w:bookmarkEnd w:id="37"/>
      <w:r>
        <w:rPr>
          <w:rFonts w:hint="eastAsia" w:ascii="仿宋_GB2312" w:hAnsi="仿宋_GB2312" w:eastAsia="仿宋_GB2312" w:cs="仿宋_GB2312"/>
          <w:color w:val="000000"/>
          <w:spacing w:val="0"/>
          <w:w w:val="100"/>
          <w:position w:val="0"/>
          <w:sz w:val="32"/>
          <w:szCs w:val="32"/>
        </w:rPr>
        <w:t>一）建立担保授权和审批制度。应规定担保事项的授权批准方式、权限、程序、责任及相关控制措施；</w:t>
      </w:r>
    </w:p>
    <w:p>
      <w:pPr>
        <w:pStyle w:val="13"/>
        <w:keepNext w:val="0"/>
        <w:keepLines w:val="0"/>
        <w:widowControl w:val="0"/>
        <w:shd w:val="clear" w:color="auto" w:fill="auto"/>
        <w:tabs>
          <w:tab w:val="left" w:pos="1626"/>
        </w:tabs>
        <w:bidi w:val="0"/>
        <w:spacing w:before="0" w:after="0" w:line="565" w:lineRule="exact"/>
        <w:ind w:left="0" w:right="0" w:firstLine="780"/>
        <w:jc w:val="both"/>
        <w:rPr>
          <w:rFonts w:hint="eastAsia" w:ascii="仿宋_GB2312" w:hAnsi="仿宋_GB2312" w:eastAsia="仿宋_GB2312" w:cs="仿宋_GB2312"/>
          <w:sz w:val="32"/>
          <w:szCs w:val="32"/>
        </w:rPr>
      </w:pPr>
      <w:bookmarkStart w:id="38" w:name="bookmark82"/>
      <w:r>
        <w:rPr>
          <w:rFonts w:hint="eastAsia" w:ascii="仿宋_GB2312" w:hAnsi="仿宋_GB2312" w:eastAsia="仿宋_GB2312" w:cs="仿宋_GB2312"/>
          <w:color w:val="000000"/>
          <w:spacing w:val="0"/>
          <w:w w:val="100"/>
          <w:position w:val="0"/>
          <w:sz w:val="32"/>
          <w:szCs w:val="32"/>
        </w:rPr>
        <w:t>（</w:t>
      </w:r>
      <w:bookmarkEnd w:id="38"/>
      <w:r>
        <w:rPr>
          <w:rFonts w:hint="eastAsia" w:ascii="仿宋_GB2312" w:hAnsi="仿宋_GB2312" w:eastAsia="仿宋_GB2312" w:cs="仿宋_GB2312"/>
          <w:color w:val="000000"/>
          <w:spacing w:val="0"/>
          <w:w w:val="100"/>
          <w:position w:val="0"/>
          <w:sz w:val="32"/>
          <w:szCs w:val="32"/>
        </w:rPr>
        <w:t>二）建立担保台账制度。应对担保事项进行分类管理，以台账方式详细记录担保合同基本情况、担保对象、金额、期限、 担保方式及担保责任履行等情况；</w:t>
      </w:r>
    </w:p>
    <w:p>
      <w:pPr>
        <w:pStyle w:val="13"/>
        <w:keepNext w:val="0"/>
        <w:keepLines w:val="0"/>
        <w:widowControl w:val="0"/>
        <w:shd w:val="clear" w:color="auto" w:fill="auto"/>
        <w:tabs>
          <w:tab w:val="left" w:pos="1635"/>
        </w:tabs>
        <w:bidi w:val="0"/>
        <w:spacing w:before="0" w:after="0" w:line="565" w:lineRule="exact"/>
        <w:ind w:left="0" w:right="0" w:firstLine="780"/>
        <w:jc w:val="both"/>
        <w:rPr>
          <w:rFonts w:hint="eastAsia" w:ascii="仿宋_GB2312" w:hAnsi="仿宋_GB2312" w:eastAsia="仿宋_GB2312" w:cs="仿宋_GB2312"/>
          <w:sz w:val="32"/>
          <w:szCs w:val="32"/>
        </w:rPr>
      </w:pPr>
      <w:bookmarkStart w:id="39" w:name="bookmark83"/>
      <w:r>
        <w:rPr>
          <w:rFonts w:hint="eastAsia" w:ascii="仿宋_GB2312" w:hAnsi="仿宋_GB2312" w:eastAsia="仿宋_GB2312" w:cs="仿宋_GB2312"/>
          <w:color w:val="000000"/>
          <w:spacing w:val="0"/>
          <w:w w:val="100"/>
          <w:position w:val="0"/>
          <w:sz w:val="32"/>
          <w:szCs w:val="32"/>
        </w:rPr>
        <w:t>（</w:t>
      </w:r>
      <w:bookmarkEnd w:id="39"/>
      <w:r>
        <w:rPr>
          <w:rFonts w:hint="eastAsia" w:ascii="仿宋_GB2312" w:hAnsi="仿宋_GB2312" w:eastAsia="仿宋_GB2312" w:cs="仿宋_GB2312"/>
          <w:color w:val="000000"/>
          <w:spacing w:val="0"/>
          <w:w w:val="100"/>
          <w:position w:val="0"/>
          <w:sz w:val="32"/>
          <w:szCs w:val="32"/>
        </w:rPr>
        <w:t>三）建立跟踪和监控制度。严格按照董事会决议通过的担保事项订立担保、反担保及相关合同，并对被担保人的经营及财 务状况、被担保项目的资金使用及债务主合同执行情况实施动态 监控；</w:t>
      </w:r>
    </w:p>
    <w:p>
      <w:pPr>
        <w:pStyle w:val="13"/>
        <w:keepNext w:val="0"/>
        <w:keepLines w:val="0"/>
        <w:widowControl w:val="0"/>
        <w:shd w:val="clear" w:color="auto" w:fill="auto"/>
        <w:tabs>
          <w:tab w:val="left" w:pos="1621"/>
        </w:tabs>
        <w:bidi w:val="0"/>
        <w:spacing w:before="0" w:after="0" w:line="565" w:lineRule="exact"/>
        <w:ind w:left="0" w:right="0" w:firstLine="780"/>
        <w:jc w:val="both"/>
        <w:rPr>
          <w:rFonts w:hint="eastAsia" w:ascii="仿宋_GB2312" w:hAnsi="仿宋_GB2312" w:eastAsia="仿宋_GB2312" w:cs="仿宋_GB2312"/>
          <w:sz w:val="32"/>
          <w:szCs w:val="32"/>
        </w:rPr>
      </w:pPr>
      <w:bookmarkStart w:id="40" w:name="bookmark84"/>
      <w:r>
        <w:rPr>
          <w:rFonts w:hint="eastAsia" w:ascii="仿宋_GB2312" w:hAnsi="仿宋_GB2312" w:eastAsia="仿宋_GB2312" w:cs="仿宋_GB2312"/>
          <w:color w:val="000000"/>
          <w:spacing w:val="0"/>
          <w:w w:val="100"/>
          <w:position w:val="0"/>
          <w:sz w:val="32"/>
          <w:szCs w:val="32"/>
        </w:rPr>
        <w:t>（</w:t>
      </w:r>
      <w:bookmarkEnd w:id="40"/>
      <w:r>
        <w:rPr>
          <w:rFonts w:hint="eastAsia" w:ascii="仿宋_GB2312" w:hAnsi="仿宋_GB2312" w:eastAsia="仿宋_GB2312" w:cs="仿宋_GB2312"/>
          <w:color w:val="000000"/>
          <w:spacing w:val="0"/>
          <w:w w:val="100"/>
          <w:position w:val="0"/>
          <w:sz w:val="32"/>
          <w:szCs w:val="32"/>
        </w:rPr>
        <w:t>四）建立担保报告制度。监管企业应统计每月担保变动情况，通过智慧国资平台等方式填列《</w:t>
      </w:r>
      <w:r>
        <w:rPr>
          <w:rFonts w:hint="eastAsia" w:ascii="仿宋_GB2312" w:hAnsi="仿宋_GB2312" w:eastAsia="仿宋_GB2312" w:cs="仿宋_GB2312"/>
          <w:color w:val="000000"/>
          <w:spacing w:val="0"/>
          <w:w w:val="100"/>
          <w:position w:val="0"/>
          <w:sz w:val="32"/>
          <w:szCs w:val="32"/>
          <w:lang w:eastAsia="zh-CN"/>
        </w:rPr>
        <w:t>蓟州区</w:t>
      </w:r>
      <w:r>
        <w:rPr>
          <w:rFonts w:hint="eastAsia" w:ascii="仿宋_GB2312" w:hAnsi="仿宋_GB2312" w:eastAsia="仿宋_GB2312" w:cs="仿宋_GB2312"/>
          <w:color w:val="000000"/>
          <w:spacing w:val="0"/>
          <w:w w:val="100"/>
          <w:position w:val="0"/>
          <w:sz w:val="32"/>
          <w:szCs w:val="32"/>
        </w:rPr>
        <w:t>监管企业担保事项统 计表》，并逐月在企业财务月报系统中填列担保事项。</w:t>
      </w:r>
    </w:p>
    <w:p>
      <w:pPr>
        <w:pStyle w:val="13"/>
        <w:keepNext w:val="0"/>
        <w:keepLines w:val="0"/>
        <w:widowControl w:val="0"/>
        <w:shd w:val="clear" w:color="auto" w:fill="auto"/>
        <w:bidi w:val="0"/>
        <w:spacing w:before="0" w:after="0" w:line="576" w:lineRule="exact"/>
        <w:ind w:left="0" w:right="0"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rPr>
        <w:t>第二十五条</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监管企业及所属企业在实施日常监控过程中发 现被担保人存在经营困难、债务沉重或者违反担保合同等情况， 应及时采取有效措施，最大限度降低担保责任。</w:t>
      </w:r>
    </w:p>
    <w:p>
      <w:pPr>
        <w:pStyle w:val="13"/>
        <w:keepNext w:val="0"/>
        <w:keepLines w:val="0"/>
        <w:widowControl w:val="0"/>
        <w:shd w:val="clear" w:color="auto" w:fill="auto"/>
        <w:bidi w:val="0"/>
        <w:spacing w:before="0" w:after="0" w:line="565" w:lineRule="exact"/>
        <w:ind w:left="0" w:right="0"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rPr>
        <w:t>第二十六条</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担保人履行担保责任后，应当依法向被担保人、 反担保人行使追偿权。由第三方申请的被担保人破产案件经人民 法院受理后，担保人作为债权人，应当依法及时申报债权，预先行使追偿权。</w:t>
      </w:r>
    </w:p>
    <w:p>
      <w:pPr>
        <w:pStyle w:val="13"/>
        <w:keepNext w:val="0"/>
        <w:keepLines w:val="0"/>
        <w:widowControl w:val="0"/>
        <w:shd w:val="clear" w:color="auto" w:fill="auto"/>
        <w:bidi w:val="0"/>
        <w:spacing w:before="0" w:after="0" w:line="576" w:lineRule="exact"/>
        <w:ind w:left="0" w:right="0"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rPr>
        <w:t>第二十七条</w:t>
      </w:r>
      <w:r>
        <w:rPr>
          <w:rFonts w:hint="eastAsia" w:ascii="仿宋_GB2312" w:hAnsi="仿宋_GB2312" w:eastAsia="仿宋_GB2312" w:cs="仿宋_GB2312"/>
          <w:b/>
          <w:bCs/>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监管企业未按规定程序决策或未及时向</w:t>
      </w:r>
      <w:r>
        <w:rPr>
          <w:rFonts w:hint="eastAsia" w:ascii="仿宋_GB2312" w:hAnsi="仿宋_GB2312" w:eastAsia="仿宋_GB2312" w:cs="仿宋_GB2312"/>
          <w:color w:val="000000"/>
          <w:spacing w:val="0"/>
          <w:w w:val="100"/>
          <w:position w:val="0"/>
          <w:sz w:val="32"/>
          <w:szCs w:val="32"/>
          <w:lang w:eastAsia="zh-CN"/>
        </w:rPr>
        <w:t>区</w:t>
      </w:r>
      <w:r>
        <w:rPr>
          <w:rFonts w:hint="eastAsia" w:ascii="仿宋_GB2312" w:hAnsi="仿宋_GB2312" w:eastAsia="仿宋_GB2312" w:cs="仿宋_GB2312"/>
          <w:color w:val="000000"/>
          <w:spacing w:val="0"/>
          <w:w w:val="100"/>
          <w:position w:val="0"/>
          <w:sz w:val="32"/>
          <w:szCs w:val="32"/>
        </w:rPr>
        <w:t>国资委履行核准、报告等程序的，</w:t>
      </w:r>
      <w:r>
        <w:rPr>
          <w:rFonts w:hint="eastAsia" w:ascii="仿宋_GB2312" w:hAnsi="仿宋_GB2312" w:eastAsia="仿宋_GB2312" w:cs="仿宋_GB2312"/>
          <w:color w:val="000000"/>
          <w:spacing w:val="0"/>
          <w:w w:val="100"/>
          <w:position w:val="0"/>
          <w:sz w:val="32"/>
          <w:szCs w:val="32"/>
          <w:lang w:eastAsia="zh-CN"/>
        </w:rPr>
        <w:t>区</w:t>
      </w:r>
      <w:r>
        <w:rPr>
          <w:rFonts w:hint="eastAsia" w:ascii="仿宋_GB2312" w:hAnsi="仿宋_GB2312" w:eastAsia="仿宋_GB2312" w:cs="仿宋_GB2312"/>
          <w:color w:val="000000"/>
          <w:spacing w:val="0"/>
          <w:w w:val="100"/>
          <w:position w:val="0"/>
          <w:sz w:val="32"/>
          <w:szCs w:val="32"/>
        </w:rPr>
        <w:t>国资委将依照有关规定予以处理。</w:t>
      </w:r>
    </w:p>
    <w:p>
      <w:pPr>
        <w:pStyle w:val="13"/>
        <w:keepNext w:val="0"/>
        <w:keepLines w:val="0"/>
        <w:widowControl w:val="0"/>
        <w:shd w:val="clear" w:color="auto" w:fill="auto"/>
        <w:bidi w:val="0"/>
        <w:spacing w:before="0" w:after="0" w:line="569" w:lineRule="exact"/>
        <w:ind w:left="0" w:right="0"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rPr>
        <w:t>第二十八条</w:t>
      </w:r>
      <w:r>
        <w:rPr>
          <w:rFonts w:hint="eastAsia" w:ascii="仿宋_GB2312" w:hAnsi="仿宋_GB2312" w:eastAsia="仿宋_GB2312" w:cs="仿宋_GB2312"/>
          <w:b/>
          <w:bCs/>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lang w:eastAsia="zh-CN"/>
        </w:rPr>
        <w:t>区</w:t>
      </w:r>
      <w:r>
        <w:rPr>
          <w:rFonts w:hint="eastAsia" w:ascii="仿宋_GB2312" w:hAnsi="仿宋_GB2312" w:eastAsia="仿宋_GB2312" w:cs="仿宋_GB2312"/>
          <w:color w:val="000000"/>
          <w:spacing w:val="0"/>
          <w:w w:val="100"/>
          <w:position w:val="0"/>
          <w:sz w:val="32"/>
          <w:szCs w:val="32"/>
        </w:rPr>
        <w:t>国资委指导和监督监管企业担保管理情况，不定期开展检查，依法依规考核问责，对监管企业违反本办法提供担保或疏于对已担保项目跟踪，出现担保风险未及时报告、未采取有效措施，造成国有资产损失的，将依法依规追究责任。</w:t>
      </w:r>
    </w:p>
    <w:p>
      <w:pPr>
        <w:pStyle w:val="13"/>
        <w:keepNext w:val="0"/>
        <w:keepLines w:val="0"/>
        <w:widowControl w:val="0"/>
        <w:shd w:val="clear" w:color="auto" w:fill="auto"/>
        <w:bidi w:val="0"/>
        <w:spacing w:before="0" w:after="0" w:line="569" w:lineRule="exact"/>
        <w:ind w:left="0" w:right="0" w:firstLine="660"/>
        <w:jc w:val="both"/>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rPr>
        <w:t>第二十九条</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监管企业应按照本办法的规定，并结合实际情况，制定本企业担保管理制度。</w:t>
      </w:r>
    </w:p>
    <w:p>
      <w:pPr>
        <w:pStyle w:val="13"/>
        <w:keepNext w:val="0"/>
        <w:keepLines w:val="0"/>
        <w:widowControl w:val="0"/>
        <w:shd w:val="clear" w:color="auto" w:fill="auto"/>
        <w:bidi w:val="0"/>
        <w:spacing w:before="0" w:after="0" w:line="569" w:lineRule="exact"/>
        <w:ind w:left="0" w:right="0" w:firstLine="660"/>
        <w:jc w:val="both"/>
        <w:rPr>
          <w:rFonts w:hint="eastAsia" w:ascii="仿宋_GB2312" w:hAnsi="仿宋_GB2312" w:eastAsia="仿宋_GB2312" w:cs="仿宋_GB2312"/>
          <w:color w:val="000000"/>
          <w:spacing w:val="0"/>
          <w:w w:val="100"/>
          <w:position w:val="0"/>
          <w:sz w:val="32"/>
          <w:szCs w:val="32"/>
        </w:rPr>
      </w:pPr>
    </w:p>
    <w:p>
      <w:pPr>
        <w:pStyle w:val="13"/>
        <w:keepNext w:val="0"/>
        <w:keepLines w:val="0"/>
        <w:widowControl w:val="0"/>
        <w:shd w:val="clear" w:color="auto" w:fill="auto"/>
        <w:bidi w:val="0"/>
        <w:spacing w:before="0" w:after="520" w:line="586" w:lineRule="exact"/>
        <w:ind w:left="0" w:right="0" w:firstLine="660"/>
        <w:jc w:val="both"/>
        <w:rPr>
          <w:rFonts w:hint="eastAsia" w:ascii="黑体" w:hAnsi="黑体" w:eastAsia="黑体" w:cs="黑体"/>
          <w:b/>
          <w:bCs/>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eastAsia="zh-CN"/>
        </w:rPr>
        <w:t>　　　　　　　　　</w:t>
      </w:r>
      <w:r>
        <w:rPr>
          <w:rFonts w:hint="eastAsia" w:ascii="黑体" w:hAnsi="黑体" w:eastAsia="黑体" w:cs="黑体"/>
          <w:b/>
          <w:bCs/>
          <w:color w:val="000000"/>
          <w:spacing w:val="0"/>
          <w:w w:val="100"/>
          <w:position w:val="0"/>
          <w:sz w:val="32"/>
          <w:szCs w:val="32"/>
        </w:rPr>
        <w:t>第六章</w:t>
      </w:r>
      <w:r>
        <w:rPr>
          <w:rFonts w:hint="eastAsia" w:ascii="黑体" w:hAnsi="黑体" w:eastAsia="黑体" w:cs="黑体"/>
          <w:b/>
          <w:bCs/>
          <w:color w:val="000000"/>
          <w:spacing w:val="0"/>
          <w:w w:val="100"/>
          <w:position w:val="0"/>
          <w:sz w:val="32"/>
          <w:szCs w:val="32"/>
          <w:lang w:eastAsia="zh-CN"/>
        </w:rPr>
        <w:t>　</w:t>
      </w:r>
      <w:r>
        <w:rPr>
          <w:rFonts w:hint="eastAsia" w:ascii="黑体" w:hAnsi="黑体" w:eastAsia="黑体" w:cs="黑体"/>
          <w:b/>
          <w:bCs/>
          <w:color w:val="000000"/>
          <w:spacing w:val="0"/>
          <w:w w:val="100"/>
          <w:position w:val="0"/>
          <w:sz w:val="32"/>
          <w:szCs w:val="32"/>
        </w:rPr>
        <w:t>附则</w:t>
      </w:r>
    </w:p>
    <w:p>
      <w:pPr>
        <w:pStyle w:val="13"/>
        <w:keepNext w:val="0"/>
        <w:keepLines w:val="0"/>
        <w:widowControl w:val="0"/>
        <w:shd w:val="clear" w:color="auto" w:fill="auto"/>
        <w:bidi w:val="0"/>
        <w:spacing w:before="0" w:after="0" w:line="569" w:lineRule="exact"/>
        <w:ind w:left="0" w:right="0" w:firstLine="660"/>
        <w:jc w:val="both"/>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rPr>
        <w:t>第三十条</w:t>
      </w:r>
      <w:r>
        <w:rPr>
          <w:rFonts w:hint="eastAsia" w:ascii="仿宋_GB2312" w:hAnsi="仿宋_GB2312" w:eastAsia="仿宋_GB2312" w:cs="仿宋_GB2312"/>
          <w:color w:val="000000"/>
          <w:spacing w:val="0"/>
          <w:w w:val="100"/>
          <w:position w:val="0"/>
          <w:sz w:val="32"/>
          <w:szCs w:val="32"/>
        </w:rPr>
        <w:t xml:space="preserve"> 监管企业及所属企业中的上市公司、融资性担保公司、信用增进类公司的担保事项应按照国家有关规定执行。</w:t>
      </w:r>
    </w:p>
    <w:p>
      <w:pPr>
        <w:pStyle w:val="13"/>
        <w:keepNext w:val="0"/>
        <w:keepLines w:val="0"/>
        <w:widowControl w:val="0"/>
        <w:shd w:val="clear" w:color="auto" w:fill="auto"/>
        <w:bidi w:val="0"/>
        <w:spacing w:before="0" w:after="0" w:line="569" w:lineRule="exact"/>
        <w:ind w:left="0" w:right="0" w:firstLine="660"/>
        <w:jc w:val="both"/>
        <w:rPr>
          <w:rFonts w:hint="eastAsia" w:ascii="仿宋_GB2312" w:hAnsi="仿宋_GB2312" w:eastAsia="仿宋_GB2312" w:cs="仿宋_GB2312"/>
          <w:sz w:val="32"/>
          <w:szCs w:val="32"/>
          <w:lang w:eastAsia="zh-CN"/>
        </w:rPr>
        <w:sectPr>
          <w:footerReference r:id="rId5" w:type="default"/>
          <w:footerReference r:id="rId6" w:type="even"/>
          <w:footnotePr>
            <w:numFmt w:val="decimal"/>
          </w:footnotePr>
          <w:type w:val="continuous"/>
          <w:pgSz w:w="11900" w:h="16840"/>
          <w:pgMar w:top="1792" w:right="1478" w:bottom="1504" w:left="1253" w:header="0" w:footer="3" w:gutter="0"/>
          <w:cols w:space="720" w:num="1"/>
          <w:rtlGutter w:val="0"/>
          <w:docGrid w:linePitch="360" w:charSpace="0"/>
        </w:sectPr>
      </w:pPr>
      <w:r>
        <w:rPr>
          <w:rFonts w:hint="eastAsia" w:ascii="仿宋_GB2312" w:hAnsi="仿宋_GB2312" w:eastAsia="仿宋_GB2312" w:cs="仿宋_GB2312"/>
          <w:b/>
          <w:bCs/>
          <w:color w:val="000000"/>
          <w:spacing w:val="0"/>
          <w:w w:val="100"/>
          <w:position w:val="0"/>
          <w:sz w:val="32"/>
          <w:szCs w:val="32"/>
        </w:rPr>
        <w:t>第三十</w:t>
      </w:r>
      <w:r>
        <w:rPr>
          <w:rFonts w:hint="eastAsia" w:ascii="仿宋_GB2312" w:hAnsi="仿宋_GB2312" w:eastAsia="仿宋_GB2312" w:cs="仿宋_GB2312"/>
          <w:b/>
          <w:bCs/>
          <w:color w:val="000000"/>
          <w:spacing w:val="0"/>
          <w:w w:val="100"/>
          <w:position w:val="0"/>
          <w:sz w:val="32"/>
          <w:szCs w:val="32"/>
          <w:lang w:eastAsia="zh-CN"/>
        </w:rPr>
        <w:t>一</w:t>
      </w:r>
      <w:r>
        <w:rPr>
          <w:rFonts w:hint="eastAsia" w:ascii="仿宋_GB2312" w:hAnsi="仿宋_GB2312" w:eastAsia="仿宋_GB2312" w:cs="仿宋_GB2312"/>
          <w:b/>
          <w:bCs/>
          <w:color w:val="000000"/>
          <w:spacing w:val="0"/>
          <w:w w:val="100"/>
          <w:position w:val="0"/>
          <w:sz w:val="32"/>
          <w:szCs w:val="32"/>
        </w:rPr>
        <w:t>条</w:t>
      </w:r>
      <w:r>
        <w:rPr>
          <w:rFonts w:hint="eastAsia" w:ascii="仿宋_GB2312" w:hAnsi="仿宋_GB2312" w:eastAsia="仿宋_GB2312" w:cs="仿宋_GB2312"/>
          <w:color w:val="000000"/>
          <w:spacing w:val="0"/>
          <w:w w:val="100"/>
          <w:position w:val="0"/>
          <w:sz w:val="32"/>
          <w:szCs w:val="32"/>
        </w:rPr>
        <w:t xml:space="preserve"> 本办法自202</w:t>
      </w:r>
      <w:r>
        <w:rPr>
          <w:rFonts w:hint="eastAsia" w:ascii="仿宋_GB2312" w:hAnsi="仿宋_GB2312" w:eastAsia="仿宋_GB2312" w:cs="仿宋_GB2312"/>
          <w:color w:val="000000"/>
          <w:spacing w:val="0"/>
          <w:w w:val="100"/>
          <w:position w:val="0"/>
          <w:sz w:val="32"/>
          <w:szCs w:val="32"/>
          <w:lang w:val="en-US" w:eastAsia="zh-CN"/>
        </w:rPr>
        <w:t>1</w:t>
      </w:r>
      <w:r>
        <w:rPr>
          <w:rFonts w:hint="eastAsia" w:ascii="仿宋_GB2312" w:hAnsi="仿宋_GB2312" w:eastAsia="仿宋_GB2312" w:cs="仿宋_GB2312"/>
          <w:color w:val="000000"/>
          <w:spacing w:val="0"/>
          <w:w w:val="100"/>
          <w:position w:val="0"/>
          <w:sz w:val="32"/>
          <w:szCs w:val="32"/>
        </w:rPr>
        <w:t>年</w:t>
      </w:r>
      <w:r>
        <w:rPr>
          <w:rFonts w:hint="eastAsia" w:ascii="仿宋_GB2312" w:hAnsi="仿宋_GB2312" w:eastAsia="仿宋_GB2312" w:cs="仿宋_GB2312"/>
          <w:color w:val="000000"/>
          <w:spacing w:val="0"/>
          <w:w w:val="100"/>
          <w:position w:val="0"/>
          <w:sz w:val="32"/>
          <w:szCs w:val="32"/>
          <w:lang w:val="en-US" w:eastAsia="zh-CN"/>
        </w:rPr>
        <w:t>9</w:t>
      </w:r>
      <w:r>
        <w:rPr>
          <w:rFonts w:hint="eastAsia" w:ascii="仿宋_GB2312" w:hAnsi="仿宋_GB2312" w:eastAsia="仿宋_GB2312" w:cs="仿宋_GB2312"/>
          <w:color w:val="000000"/>
          <w:spacing w:val="0"/>
          <w:w w:val="100"/>
          <w:position w:val="0"/>
          <w:sz w:val="32"/>
          <w:szCs w:val="32"/>
        </w:rPr>
        <w:t>月1日起执行，有效期五</w:t>
      </w:r>
      <w:r>
        <w:rPr>
          <w:rFonts w:hint="eastAsia" w:ascii="仿宋_GB2312" w:hAnsi="仿宋_GB2312" w:eastAsia="仿宋_GB2312" w:cs="仿宋_GB2312"/>
          <w:color w:val="000000"/>
          <w:spacing w:val="0"/>
          <w:w w:val="100"/>
          <w:position w:val="0"/>
          <w:sz w:val="32"/>
          <w:szCs w:val="32"/>
          <w:lang w:eastAsia="zh-CN"/>
        </w:rPr>
        <w:t>年。</w:t>
      </w:r>
    </w:p>
    <w:p>
      <w:pPr>
        <w:pStyle w:val="12"/>
        <w:keepNext/>
        <w:keepLines/>
        <w:widowControl w:val="0"/>
        <w:shd w:val="clear" w:color="auto" w:fill="auto"/>
        <w:bidi w:val="0"/>
        <w:spacing w:before="0" w:line="240" w:lineRule="auto"/>
        <w:ind w:left="0" w:right="0" w:firstLine="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pacing w:val="0"/>
          <w:w w:val="100"/>
          <w:position w:val="0"/>
          <w:sz w:val="44"/>
          <w:szCs w:val="44"/>
          <w:lang w:eastAsia="zh-CN"/>
        </w:rPr>
        <w:t>蓟州区</w:t>
      </w:r>
      <w:r>
        <w:rPr>
          <w:rFonts w:hint="eastAsia" w:ascii="方正小标宋简体" w:hAnsi="方正小标宋简体" w:eastAsia="方正小标宋简体" w:cs="方正小标宋简体"/>
          <w:color w:val="000000"/>
          <w:spacing w:val="0"/>
          <w:w w:val="100"/>
          <w:position w:val="0"/>
          <w:sz w:val="44"/>
          <w:szCs w:val="44"/>
        </w:rPr>
        <w:t>国资委监管企业对外捐赠管理办法</w:t>
      </w:r>
    </w:p>
    <w:p>
      <w:pPr>
        <w:pStyle w:val="13"/>
        <w:keepNext w:val="0"/>
        <w:keepLines w:val="0"/>
        <w:widowControl w:val="0"/>
        <w:shd w:val="clear" w:color="auto" w:fill="auto"/>
        <w:bidi w:val="0"/>
        <w:spacing w:before="0" w:after="540" w:line="562" w:lineRule="exact"/>
        <w:ind w:left="0" w:right="0" w:firstLine="0"/>
        <w:jc w:val="center"/>
        <w:rPr>
          <w:rFonts w:hint="eastAsia" w:ascii="黑体" w:hAnsi="黑体" w:eastAsia="黑体" w:cs="黑体"/>
          <w:b/>
          <w:bCs/>
          <w:color w:val="000000"/>
          <w:spacing w:val="0"/>
          <w:w w:val="100"/>
          <w:position w:val="0"/>
          <w:sz w:val="32"/>
          <w:szCs w:val="32"/>
        </w:rPr>
      </w:pPr>
      <w:r>
        <w:rPr>
          <w:rFonts w:hint="eastAsia" w:ascii="黑体" w:hAnsi="黑体" w:eastAsia="黑体" w:cs="黑体"/>
          <w:b/>
          <w:bCs/>
          <w:color w:val="000000"/>
          <w:spacing w:val="0"/>
          <w:w w:val="100"/>
          <w:position w:val="0"/>
          <w:sz w:val="32"/>
          <w:szCs w:val="32"/>
        </w:rPr>
        <w:t>第一章</w:t>
      </w:r>
      <w:r>
        <w:rPr>
          <w:rFonts w:hint="eastAsia" w:ascii="黑体" w:hAnsi="黑体" w:eastAsia="黑体" w:cs="黑体"/>
          <w:b/>
          <w:bCs/>
          <w:color w:val="000000"/>
          <w:spacing w:val="0"/>
          <w:w w:val="100"/>
          <w:position w:val="0"/>
          <w:sz w:val="32"/>
          <w:szCs w:val="32"/>
          <w:lang w:eastAsia="zh-CN"/>
        </w:rPr>
        <w:t>　</w:t>
      </w:r>
      <w:r>
        <w:rPr>
          <w:rFonts w:hint="eastAsia" w:ascii="黑体" w:hAnsi="黑体" w:eastAsia="黑体" w:cs="黑体"/>
          <w:b/>
          <w:bCs/>
          <w:color w:val="000000"/>
          <w:spacing w:val="0"/>
          <w:w w:val="100"/>
          <w:position w:val="0"/>
          <w:sz w:val="32"/>
          <w:szCs w:val="32"/>
        </w:rPr>
        <w:t>总则</w:t>
      </w:r>
    </w:p>
    <w:p>
      <w:pPr>
        <w:pStyle w:val="13"/>
        <w:keepNext w:val="0"/>
        <w:keepLines w:val="0"/>
        <w:widowControl w:val="0"/>
        <w:shd w:val="clear" w:color="auto" w:fill="auto"/>
        <w:bidi w:val="0"/>
        <w:spacing w:before="0" w:after="0" w:line="561" w:lineRule="exact"/>
        <w:ind w:left="0" w:right="0" w:firstLine="740"/>
        <w:jc w:val="both"/>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rPr>
        <w:t>第一条</w:t>
      </w:r>
      <w:r>
        <w:rPr>
          <w:rFonts w:hint="eastAsia" w:ascii="仿宋_GB2312" w:hAnsi="仿宋_GB2312" w:eastAsia="仿宋_GB2312" w:cs="仿宋_GB2312"/>
          <w:b/>
          <w:bCs/>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为进一步规范企业对外捐赠行为，维护国有股东权益，引导企业正确履行社会责任，根据《中华人民共和国公益事业捐赠法》、《中华人民共和国企业国有资产法》、《国有企业 领导人员廉洁从业若干</w:t>
      </w:r>
      <w:r>
        <w:rPr>
          <w:rFonts w:hint="eastAsia" w:ascii="仿宋_GB2312" w:hAnsi="仿宋_GB2312" w:eastAsia="仿宋_GB2312" w:cs="仿宋_GB2312"/>
          <w:color w:val="000000"/>
          <w:spacing w:val="0"/>
          <w:w w:val="100"/>
          <w:position w:val="0"/>
          <w:sz w:val="32"/>
          <w:szCs w:val="32"/>
          <w:lang w:val="zh-CN" w:eastAsia="zh-CN" w:bidi="zh-CN"/>
        </w:rPr>
        <w:t>规定》</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《天津市人民政府关于进一步规范“三重一大</w:t>
      </w:r>
      <w:r>
        <w:rPr>
          <w:rFonts w:hint="eastAsia" w:ascii="仿宋_GB2312" w:hAnsi="仿宋_GB2312" w:eastAsia="仿宋_GB2312" w:cs="仿宋_GB2312"/>
          <w:color w:val="000000"/>
          <w:spacing w:val="0"/>
          <w:w w:val="100"/>
          <w:position w:val="0"/>
          <w:sz w:val="32"/>
          <w:szCs w:val="32"/>
          <w:lang w:val="zh-CN" w:eastAsia="zh-CN" w:bidi="zh-CN"/>
        </w:rPr>
        <w:t>”决策</w:t>
      </w:r>
      <w:r>
        <w:rPr>
          <w:rFonts w:hint="eastAsia" w:ascii="仿宋_GB2312" w:hAnsi="仿宋_GB2312" w:eastAsia="仿宋_GB2312" w:cs="仿宋_GB2312"/>
          <w:color w:val="000000"/>
          <w:spacing w:val="0"/>
          <w:w w:val="100"/>
          <w:position w:val="0"/>
          <w:sz w:val="32"/>
          <w:szCs w:val="32"/>
        </w:rPr>
        <w:t>工作的意见》（津政发〔2015〕6号</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i w:val="0"/>
          <w:iCs w:val="0"/>
          <w:color w:val="000000"/>
          <w:spacing w:val="0"/>
          <w:w w:val="100"/>
          <w:position w:val="0"/>
          <w:sz w:val="32"/>
          <w:szCs w:val="32"/>
          <w:lang w:eastAsia="zh-CN"/>
        </w:rPr>
        <w:t>和《市国资委关于印发</w:t>
      </w:r>
      <w:r>
        <w:rPr>
          <w:rFonts w:hint="eastAsia" w:ascii="仿宋_GB2312" w:hAnsi="仿宋_GB2312" w:eastAsia="仿宋_GB2312" w:cs="仿宋_GB2312"/>
          <w:i w:val="0"/>
          <w:iCs w:val="0"/>
          <w:color w:val="000000"/>
          <w:spacing w:val="0"/>
          <w:w w:val="100"/>
          <w:position w:val="0"/>
          <w:sz w:val="32"/>
          <w:szCs w:val="32"/>
          <w:lang w:val="en-US" w:eastAsia="zh-CN"/>
        </w:rPr>
        <w:t>〈天津市国资委监管企业对外捐赠管理办法〉的通知</w:t>
      </w:r>
      <w:r>
        <w:rPr>
          <w:rFonts w:hint="eastAsia" w:ascii="仿宋_GB2312" w:hAnsi="仿宋_GB2312" w:eastAsia="仿宋_GB2312" w:cs="仿宋_GB2312"/>
          <w:i w:val="0"/>
          <w:iCs w:val="0"/>
          <w:color w:val="000000"/>
          <w:spacing w:val="0"/>
          <w:w w:val="100"/>
          <w:position w:val="0"/>
          <w:sz w:val="32"/>
          <w:szCs w:val="32"/>
          <w:lang w:eastAsia="zh-CN"/>
        </w:rPr>
        <w:t>》（津国资财经</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i w:val="0"/>
          <w:iCs w:val="0"/>
          <w:color w:val="000000"/>
          <w:spacing w:val="0"/>
          <w:w w:val="100"/>
          <w:position w:val="0"/>
          <w:sz w:val="32"/>
          <w:szCs w:val="32"/>
          <w:lang w:val="en-US" w:eastAsia="zh-CN"/>
        </w:rPr>
        <w:t>2020</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i w:val="0"/>
          <w:iCs w:val="0"/>
          <w:color w:val="000000"/>
          <w:spacing w:val="0"/>
          <w:w w:val="100"/>
          <w:position w:val="0"/>
          <w:sz w:val="32"/>
          <w:szCs w:val="32"/>
          <w:lang w:val="en-US" w:eastAsia="zh-CN"/>
        </w:rPr>
        <w:t>45号</w:t>
      </w:r>
      <w:r>
        <w:rPr>
          <w:rFonts w:hint="eastAsia" w:ascii="仿宋_GB2312" w:hAnsi="仿宋_GB2312" w:eastAsia="仿宋_GB2312" w:cs="仿宋_GB2312"/>
          <w:i w:val="0"/>
          <w:iCs w:val="0"/>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等有关规定，结合</w:t>
      </w:r>
      <w:r>
        <w:rPr>
          <w:rFonts w:hint="eastAsia" w:ascii="仿宋_GB2312" w:hAnsi="仿宋_GB2312" w:eastAsia="仿宋_GB2312" w:cs="仿宋_GB2312"/>
          <w:color w:val="000000"/>
          <w:spacing w:val="0"/>
          <w:w w:val="100"/>
          <w:position w:val="0"/>
          <w:sz w:val="32"/>
          <w:szCs w:val="32"/>
          <w:lang w:eastAsia="zh-CN"/>
        </w:rPr>
        <w:t>我区</w:t>
      </w:r>
      <w:r>
        <w:rPr>
          <w:rFonts w:hint="eastAsia" w:ascii="仿宋_GB2312" w:hAnsi="仿宋_GB2312" w:eastAsia="仿宋_GB2312" w:cs="仿宋_GB2312"/>
          <w:color w:val="000000"/>
          <w:spacing w:val="0"/>
          <w:w w:val="100"/>
          <w:position w:val="0"/>
          <w:sz w:val="32"/>
          <w:szCs w:val="32"/>
        </w:rPr>
        <w:t>实际，制定本办法。</w:t>
      </w:r>
    </w:p>
    <w:p>
      <w:pPr>
        <w:pStyle w:val="13"/>
        <w:keepNext w:val="0"/>
        <w:keepLines w:val="0"/>
        <w:widowControl w:val="0"/>
        <w:shd w:val="clear" w:color="auto" w:fill="auto"/>
        <w:bidi w:val="0"/>
        <w:spacing w:before="0" w:after="0" w:line="561" w:lineRule="exact"/>
        <w:ind w:left="0" w:right="0"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rPr>
        <w:t>第二条</w:t>
      </w:r>
      <w:r>
        <w:rPr>
          <w:rFonts w:hint="eastAsia" w:ascii="仿宋_GB2312" w:hAnsi="仿宋_GB2312" w:eastAsia="仿宋_GB2312" w:cs="仿宋_GB2312"/>
          <w:b/>
          <w:bCs/>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天津市</w:t>
      </w:r>
      <w:r>
        <w:rPr>
          <w:rFonts w:hint="eastAsia" w:ascii="仿宋_GB2312" w:hAnsi="仿宋_GB2312" w:eastAsia="仿宋_GB2312" w:cs="仿宋_GB2312"/>
          <w:color w:val="000000"/>
          <w:spacing w:val="0"/>
          <w:w w:val="100"/>
          <w:position w:val="0"/>
          <w:sz w:val="32"/>
          <w:szCs w:val="32"/>
          <w:lang w:eastAsia="zh-CN"/>
        </w:rPr>
        <w:t>蓟州区</w:t>
      </w:r>
      <w:r>
        <w:rPr>
          <w:rFonts w:hint="eastAsia" w:ascii="仿宋_GB2312" w:hAnsi="仿宋_GB2312" w:eastAsia="仿宋_GB2312" w:cs="仿宋_GB2312"/>
          <w:color w:val="000000"/>
          <w:spacing w:val="0"/>
          <w:w w:val="100"/>
          <w:position w:val="0"/>
          <w:sz w:val="32"/>
          <w:szCs w:val="32"/>
        </w:rPr>
        <w:t>人民政府国有资产监督管理委员会（以下简称</w:t>
      </w:r>
      <w:r>
        <w:rPr>
          <w:rFonts w:hint="eastAsia" w:ascii="仿宋_GB2312" w:hAnsi="仿宋_GB2312" w:eastAsia="仿宋_GB2312" w:cs="仿宋_GB2312"/>
          <w:color w:val="000000"/>
          <w:spacing w:val="0"/>
          <w:w w:val="100"/>
          <w:position w:val="0"/>
          <w:sz w:val="32"/>
          <w:szCs w:val="32"/>
          <w:lang w:eastAsia="zh-CN"/>
        </w:rPr>
        <w:t>区</w:t>
      </w:r>
      <w:r>
        <w:rPr>
          <w:rFonts w:hint="eastAsia" w:ascii="仿宋_GB2312" w:hAnsi="仿宋_GB2312" w:eastAsia="仿宋_GB2312" w:cs="仿宋_GB2312"/>
          <w:color w:val="000000"/>
          <w:spacing w:val="0"/>
          <w:w w:val="100"/>
          <w:position w:val="0"/>
          <w:sz w:val="32"/>
          <w:szCs w:val="32"/>
        </w:rPr>
        <w:t>国资委）履行出资人职责的企业（以下</w:t>
      </w:r>
      <w:r>
        <w:rPr>
          <w:rFonts w:hint="eastAsia" w:ascii="仿宋_GB2312" w:hAnsi="仿宋_GB2312" w:eastAsia="仿宋_GB2312" w:cs="仿宋_GB2312"/>
          <w:color w:val="000000"/>
          <w:spacing w:val="0"/>
          <w:w w:val="100"/>
          <w:position w:val="0"/>
          <w:sz w:val="32"/>
          <w:szCs w:val="32"/>
          <w:lang w:eastAsia="zh-CN"/>
        </w:rPr>
        <w:t>统</w:t>
      </w:r>
      <w:r>
        <w:rPr>
          <w:rFonts w:hint="eastAsia" w:ascii="仿宋_GB2312" w:hAnsi="仿宋_GB2312" w:eastAsia="仿宋_GB2312" w:cs="仿宋_GB2312"/>
          <w:color w:val="000000"/>
          <w:spacing w:val="0"/>
          <w:w w:val="100"/>
          <w:position w:val="0"/>
          <w:sz w:val="32"/>
          <w:szCs w:val="32"/>
        </w:rPr>
        <w:t>称企业）及其所属企业（包括所属各级国有独资、控股企业）的对外捐赠行为适用本办法。</w:t>
      </w:r>
    </w:p>
    <w:p>
      <w:pPr>
        <w:pStyle w:val="13"/>
        <w:keepNext w:val="0"/>
        <w:keepLines w:val="0"/>
        <w:widowControl w:val="0"/>
        <w:shd w:val="clear" w:color="auto" w:fill="auto"/>
        <w:bidi w:val="0"/>
        <w:spacing w:before="0" w:after="0" w:line="561" w:lineRule="exact"/>
        <w:ind w:left="0" w:right="0"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rPr>
        <w:t>第三条</w:t>
      </w:r>
      <w:r>
        <w:rPr>
          <w:rFonts w:hint="eastAsia" w:ascii="仿宋_GB2312" w:hAnsi="仿宋_GB2312" w:eastAsia="仿宋_GB2312" w:cs="仿宋_GB2312"/>
          <w:b/>
          <w:bCs/>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本办法所称对外捐赠，是指企业自愿无偿将其有权处置的企业财产赠送给合法的受赠人，用于与自身生产经营活动无关联关系的公益事业。</w:t>
      </w:r>
    </w:p>
    <w:p>
      <w:pPr>
        <w:pStyle w:val="13"/>
        <w:keepNext w:val="0"/>
        <w:keepLines w:val="0"/>
        <w:widowControl w:val="0"/>
        <w:shd w:val="clear" w:color="auto" w:fill="auto"/>
        <w:bidi w:val="0"/>
        <w:spacing w:before="0" w:after="0" w:line="561" w:lineRule="exact"/>
        <w:ind w:left="0" w:right="0" w:firstLine="580"/>
        <w:jc w:val="both"/>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rPr>
        <w:t>第四条</w:t>
      </w:r>
      <w:r>
        <w:rPr>
          <w:rFonts w:hint="eastAsia" w:ascii="仿宋_GB2312" w:hAnsi="仿宋_GB2312" w:eastAsia="仿宋_GB2312" w:cs="仿宋_GB2312"/>
          <w:b/>
          <w:bCs/>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企业对外捐赠一般应遵循以下原则：</w:t>
      </w:r>
    </w:p>
    <w:p>
      <w:pPr>
        <w:pStyle w:val="13"/>
        <w:keepNext w:val="0"/>
        <w:keepLines w:val="0"/>
        <w:widowControl w:val="0"/>
        <w:shd w:val="clear" w:color="auto" w:fill="auto"/>
        <w:tabs>
          <w:tab w:val="left" w:pos="1635"/>
        </w:tabs>
        <w:bidi w:val="0"/>
        <w:spacing w:before="0" w:after="0" w:line="562" w:lineRule="exact"/>
        <w:ind w:left="0" w:right="0" w:firstLine="840"/>
        <w:jc w:val="both"/>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（一）自愿无偿。企业对外捐赠不得要求受赠人在融资、市场准入、行政许可、占有其他资源等方面提供便利条件，导致市场不公平竞争。</w:t>
      </w:r>
      <w:bookmarkStart w:id="41" w:name="bookmark14"/>
    </w:p>
    <w:p>
      <w:pPr>
        <w:pStyle w:val="13"/>
        <w:keepNext w:val="0"/>
        <w:keepLines w:val="0"/>
        <w:widowControl w:val="0"/>
        <w:shd w:val="clear" w:color="auto" w:fill="auto"/>
        <w:tabs>
          <w:tab w:val="left" w:pos="1635"/>
        </w:tabs>
        <w:bidi w:val="0"/>
        <w:spacing w:before="0" w:after="0" w:line="562" w:lineRule="exact"/>
        <w:ind w:left="0" w:right="0" w:firstLine="840"/>
        <w:jc w:val="both"/>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w:t>
      </w:r>
      <w:bookmarkEnd w:id="41"/>
      <w:r>
        <w:rPr>
          <w:rFonts w:hint="eastAsia" w:ascii="仿宋_GB2312" w:hAnsi="仿宋_GB2312" w:eastAsia="仿宋_GB2312" w:cs="仿宋_GB2312"/>
          <w:color w:val="000000"/>
          <w:spacing w:val="0"/>
          <w:w w:val="100"/>
          <w:position w:val="0"/>
          <w:sz w:val="32"/>
          <w:szCs w:val="32"/>
        </w:rPr>
        <w:t>二）量力而行。企业已经发生亏损或者由于对外捐赠将导致亏损或影响企业正常生产经营的，除特殊情况外，一般不能对外捐赠。</w:t>
      </w:r>
    </w:p>
    <w:p>
      <w:pPr>
        <w:pStyle w:val="13"/>
        <w:keepNext w:val="0"/>
        <w:keepLines w:val="0"/>
        <w:widowControl w:val="0"/>
        <w:shd w:val="clear" w:color="auto" w:fill="auto"/>
        <w:tabs>
          <w:tab w:val="left" w:pos="1635"/>
        </w:tabs>
        <w:bidi w:val="0"/>
        <w:spacing w:before="0" w:after="0" w:line="562" w:lineRule="exact"/>
        <w:ind w:left="0" w:right="0" w:firstLine="840"/>
        <w:jc w:val="both"/>
        <w:rPr>
          <w:rFonts w:hint="eastAsia" w:ascii="仿宋_GB2312" w:hAnsi="仿宋_GB2312" w:eastAsia="仿宋_GB2312" w:cs="仿宋_GB2312"/>
          <w:color w:val="000000"/>
          <w:spacing w:val="0"/>
          <w:w w:val="100"/>
          <w:position w:val="0"/>
          <w:sz w:val="32"/>
          <w:szCs w:val="32"/>
        </w:rPr>
      </w:pPr>
      <w:bookmarkStart w:id="42" w:name="bookmark15"/>
      <w:r>
        <w:rPr>
          <w:rFonts w:hint="eastAsia" w:ascii="仿宋_GB2312" w:hAnsi="仿宋_GB2312" w:eastAsia="仿宋_GB2312" w:cs="仿宋_GB2312"/>
          <w:color w:val="000000"/>
          <w:spacing w:val="0"/>
          <w:w w:val="100"/>
          <w:position w:val="0"/>
          <w:sz w:val="32"/>
          <w:szCs w:val="32"/>
        </w:rPr>
        <w:t>（</w:t>
      </w:r>
      <w:bookmarkEnd w:id="42"/>
      <w:r>
        <w:rPr>
          <w:rFonts w:hint="eastAsia" w:ascii="仿宋_GB2312" w:hAnsi="仿宋_GB2312" w:eastAsia="仿宋_GB2312" w:cs="仿宋_GB2312"/>
          <w:color w:val="000000"/>
          <w:spacing w:val="0"/>
          <w:w w:val="100"/>
          <w:position w:val="0"/>
          <w:sz w:val="32"/>
          <w:szCs w:val="32"/>
        </w:rPr>
        <w:t>三）程序规范。企业对外捐赠要有严格的内部决策程序、规范的审批流程。所有的对外捐赠必须经过企业领导班子集体决策，大额捐赠要履行相应的核准程序。</w:t>
      </w:r>
      <w:bookmarkStart w:id="43" w:name="bookmark16"/>
    </w:p>
    <w:p>
      <w:pPr>
        <w:pStyle w:val="13"/>
        <w:keepNext w:val="0"/>
        <w:keepLines w:val="0"/>
        <w:widowControl w:val="0"/>
        <w:shd w:val="clear" w:color="auto" w:fill="auto"/>
        <w:tabs>
          <w:tab w:val="left" w:pos="1635"/>
        </w:tabs>
        <w:bidi w:val="0"/>
        <w:spacing w:before="0" w:after="0" w:line="562" w:lineRule="exact"/>
        <w:ind w:left="0" w:right="0" w:firstLine="84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w:t>
      </w:r>
      <w:bookmarkEnd w:id="43"/>
      <w:r>
        <w:rPr>
          <w:rFonts w:hint="eastAsia" w:ascii="仿宋_GB2312" w:hAnsi="仿宋_GB2312" w:eastAsia="仿宋_GB2312" w:cs="仿宋_GB2312"/>
          <w:color w:val="000000"/>
          <w:spacing w:val="0"/>
          <w:w w:val="100"/>
          <w:position w:val="0"/>
          <w:sz w:val="32"/>
          <w:szCs w:val="32"/>
        </w:rPr>
        <w:t>四）诚实守信。企业已履行相关决策程序并已经向社会公众或者受赠人承诺的捐赠，必须诚实履行，严禁各类虚假宣传或许诺行为。</w:t>
      </w:r>
    </w:p>
    <w:p>
      <w:pPr>
        <w:pStyle w:val="13"/>
        <w:keepNext w:val="0"/>
        <w:keepLines w:val="0"/>
        <w:widowControl w:val="0"/>
        <w:shd w:val="clear" w:color="auto" w:fill="auto"/>
        <w:bidi w:val="0"/>
        <w:spacing w:before="0" w:after="540" w:line="562" w:lineRule="exact"/>
        <w:ind w:left="0" w:right="0" w:firstLine="0"/>
        <w:jc w:val="center"/>
        <w:rPr>
          <w:rFonts w:hint="eastAsia" w:ascii="黑体" w:hAnsi="黑体" w:eastAsia="黑体" w:cs="黑体"/>
          <w:b/>
          <w:bCs/>
          <w:color w:val="000000"/>
          <w:spacing w:val="0"/>
          <w:w w:val="100"/>
          <w:position w:val="0"/>
          <w:sz w:val="32"/>
          <w:szCs w:val="32"/>
        </w:rPr>
      </w:pPr>
      <w:r>
        <w:rPr>
          <w:rFonts w:hint="eastAsia" w:ascii="黑体" w:hAnsi="黑体" w:eastAsia="黑体" w:cs="黑体"/>
          <w:b/>
          <w:bCs/>
          <w:color w:val="000000"/>
          <w:spacing w:val="0"/>
          <w:w w:val="100"/>
          <w:position w:val="0"/>
          <w:sz w:val="32"/>
          <w:szCs w:val="32"/>
        </w:rPr>
        <w:t>第二章</w:t>
      </w:r>
      <w:r>
        <w:rPr>
          <w:rFonts w:hint="eastAsia" w:ascii="黑体" w:hAnsi="黑体" w:eastAsia="黑体" w:cs="黑体"/>
          <w:b/>
          <w:bCs/>
          <w:color w:val="000000"/>
          <w:spacing w:val="0"/>
          <w:w w:val="100"/>
          <w:position w:val="0"/>
          <w:sz w:val="32"/>
          <w:szCs w:val="32"/>
          <w:lang w:val="en-US" w:eastAsia="zh-CN"/>
        </w:rPr>
        <w:t xml:space="preserve">  </w:t>
      </w:r>
      <w:r>
        <w:rPr>
          <w:rFonts w:hint="eastAsia" w:ascii="黑体" w:hAnsi="黑体" w:eastAsia="黑体" w:cs="黑体"/>
          <w:b/>
          <w:bCs/>
          <w:color w:val="000000"/>
          <w:spacing w:val="0"/>
          <w:w w:val="100"/>
          <w:position w:val="0"/>
          <w:sz w:val="32"/>
          <w:szCs w:val="32"/>
        </w:rPr>
        <w:t>对外捐赠范围</w:t>
      </w:r>
    </w:p>
    <w:p>
      <w:pPr>
        <w:pStyle w:val="13"/>
        <w:keepNext w:val="0"/>
        <w:keepLines w:val="0"/>
        <w:widowControl w:val="0"/>
        <w:shd w:val="clear" w:color="auto" w:fill="auto"/>
        <w:bidi w:val="0"/>
        <w:spacing w:before="0" w:after="0" w:line="564" w:lineRule="exact"/>
        <w:ind w:left="0" w:right="0"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rPr>
        <w:t>第五条</w:t>
      </w:r>
      <w:r>
        <w:rPr>
          <w:rFonts w:hint="eastAsia" w:ascii="仿宋_GB2312" w:hAnsi="仿宋_GB2312" w:eastAsia="仿宋_GB2312" w:cs="仿宋_GB2312"/>
          <w:color w:val="000000"/>
          <w:spacing w:val="0"/>
          <w:w w:val="100"/>
          <w:position w:val="0"/>
          <w:sz w:val="32"/>
          <w:szCs w:val="32"/>
        </w:rPr>
        <w:t xml:space="preserve"> 企业对外捐赠包括：向受灾地区、定点扶贫地区、定点援助地区或者困难的社会弱势群体的救济性捐赠，向教育、科 学、文化、卫生、体育事业和环境保护及节能减排等社会公益事业的公益性捐赠，以及社会公共福利事业的其他捐赠等。</w:t>
      </w:r>
    </w:p>
    <w:p>
      <w:pPr>
        <w:pStyle w:val="13"/>
        <w:keepNext w:val="0"/>
        <w:keepLines w:val="0"/>
        <w:widowControl w:val="0"/>
        <w:shd w:val="clear" w:color="auto" w:fill="auto"/>
        <w:bidi w:val="0"/>
        <w:spacing w:before="0" w:after="0" w:line="564" w:lineRule="exact"/>
        <w:ind w:left="0" w:right="0"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rPr>
        <w:t>第六条</w:t>
      </w:r>
      <w:r>
        <w:rPr>
          <w:rFonts w:hint="eastAsia" w:ascii="仿宋_GB2312" w:hAnsi="仿宋_GB2312" w:eastAsia="仿宋_GB2312" w:cs="仿宋_GB2312"/>
          <w:color w:val="000000"/>
          <w:spacing w:val="0"/>
          <w:w w:val="100"/>
          <w:position w:val="0"/>
          <w:sz w:val="32"/>
          <w:szCs w:val="32"/>
        </w:rPr>
        <w:t xml:space="preserve"> 企业用于对外捐赠的资产应当权属清晰、权责明确，并为企业有权处分的合法财产，包括现金资产和实物资产等；不具有处分权的财产或者不合格产品不得用于对外捐赠。</w:t>
      </w:r>
    </w:p>
    <w:p>
      <w:pPr>
        <w:pStyle w:val="13"/>
        <w:keepNext w:val="0"/>
        <w:keepLines w:val="0"/>
        <w:widowControl w:val="0"/>
        <w:shd w:val="clear" w:color="auto" w:fill="auto"/>
        <w:bidi w:val="0"/>
        <w:spacing w:before="0" w:after="0" w:line="564" w:lineRule="exact"/>
        <w:ind w:left="0" w:right="0"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rPr>
        <w:t>第七条</w:t>
      </w:r>
      <w:r>
        <w:rPr>
          <w:rFonts w:hint="eastAsia" w:ascii="仿宋_GB2312" w:hAnsi="仿宋_GB2312" w:eastAsia="仿宋_GB2312" w:cs="仿宋_GB2312"/>
          <w:b/>
          <w:bCs/>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企业经营者或者其他职工不得将企业拥有的资产以个人名义对外捐赠。</w:t>
      </w:r>
    </w:p>
    <w:p>
      <w:pPr>
        <w:pStyle w:val="13"/>
        <w:keepNext w:val="0"/>
        <w:keepLines w:val="0"/>
        <w:widowControl w:val="0"/>
        <w:shd w:val="clear" w:color="auto" w:fill="auto"/>
        <w:bidi w:val="0"/>
        <w:spacing w:before="0" w:after="0" w:line="564" w:lineRule="exact"/>
        <w:ind w:left="0" w:right="0"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rPr>
        <w:t>第八条</w:t>
      </w:r>
      <w:r>
        <w:rPr>
          <w:rFonts w:hint="eastAsia" w:ascii="仿宋_GB2312" w:hAnsi="仿宋_GB2312" w:eastAsia="仿宋_GB2312" w:cs="仿宋_GB2312"/>
          <w:b/>
          <w:bCs/>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除政府有特殊规定的捐赠项目之外，企业对外捐赠应当通过依法成立的接受捐赠的慈善机构、其他公益性机构或政府部门进行。</w:t>
      </w:r>
    </w:p>
    <w:p>
      <w:pPr>
        <w:pStyle w:val="13"/>
        <w:keepNext w:val="0"/>
        <w:keepLines w:val="0"/>
        <w:widowControl w:val="0"/>
        <w:shd w:val="clear" w:color="auto" w:fill="auto"/>
        <w:bidi w:val="0"/>
        <w:spacing w:before="0" w:after="540" w:line="557" w:lineRule="exact"/>
        <w:ind w:left="0" w:right="0"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对于有关社会机构、团体的摊派性捐赠或赞助，企业应当依法拒绝。</w:t>
      </w:r>
    </w:p>
    <w:p>
      <w:pPr>
        <w:pStyle w:val="13"/>
        <w:keepNext w:val="0"/>
        <w:keepLines w:val="0"/>
        <w:widowControl w:val="0"/>
        <w:shd w:val="clear" w:color="auto" w:fill="auto"/>
        <w:bidi w:val="0"/>
        <w:spacing w:before="0" w:after="540" w:line="562" w:lineRule="exact"/>
        <w:ind w:left="0" w:right="0" w:firstLine="0"/>
        <w:jc w:val="center"/>
        <w:rPr>
          <w:rFonts w:hint="eastAsia" w:ascii="黑体" w:hAnsi="黑体" w:eastAsia="黑体" w:cs="黑体"/>
          <w:b/>
          <w:bCs/>
          <w:color w:val="000000"/>
          <w:spacing w:val="0"/>
          <w:w w:val="100"/>
          <w:position w:val="0"/>
          <w:sz w:val="32"/>
          <w:szCs w:val="32"/>
        </w:rPr>
      </w:pPr>
      <w:r>
        <w:rPr>
          <w:rFonts w:hint="eastAsia" w:ascii="黑体" w:hAnsi="黑体" w:eastAsia="黑体" w:cs="黑体"/>
          <w:b/>
          <w:bCs/>
          <w:color w:val="000000"/>
          <w:spacing w:val="0"/>
          <w:w w:val="100"/>
          <w:position w:val="0"/>
          <w:sz w:val="32"/>
          <w:szCs w:val="32"/>
        </w:rPr>
        <w:t>第三章</w:t>
      </w:r>
      <w:r>
        <w:rPr>
          <w:rFonts w:hint="eastAsia" w:ascii="黑体" w:hAnsi="黑体" w:eastAsia="黑体" w:cs="黑体"/>
          <w:b/>
          <w:bCs/>
          <w:color w:val="000000"/>
          <w:spacing w:val="0"/>
          <w:w w:val="100"/>
          <w:position w:val="0"/>
          <w:sz w:val="32"/>
          <w:szCs w:val="32"/>
          <w:lang w:val="en-US" w:eastAsia="zh-CN"/>
        </w:rPr>
        <w:t xml:space="preserve">  </w:t>
      </w:r>
      <w:r>
        <w:rPr>
          <w:rFonts w:hint="eastAsia" w:ascii="黑体" w:hAnsi="黑体" w:eastAsia="黑体" w:cs="黑体"/>
          <w:b/>
          <w:bCs/>
          <w:color w:val="000000"/>
          <w:spacing w:val="0"/>
          <w:w w:val="100"/>
          <w:position w:val="0"/>
          <w:sz w:val="32"/>
          <w:szCs w:val="32"/>
        </w:rPr>
        <w:t>对外捐赠规模</w:t>
      </w:r>
    </w:p>
    <w:p>
      <w:pPr>
        <w:pStyle w:val="13"/>
        <w:keepNext w:val="0"/>
        <w:keepLines w:val="0"/>
        <w:widowControl w:val="0"/>
        <w:shd w:val="clear" w:color="auto" w:fill="auto"/>
        <w:bidi w:val="0"/>
        <w:spacing w:before="0" w:after="0" w:line="562" w:lineRule="exact"/>
        <w:ind w:left="0" w:right="0"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rPr>
        <w:t>第九条</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企业对外捐赠要按照自身经营规模、盈利能力、负债水平、现金流量等财务承受能力，合理确定对外捐赠支出规模和标准。</w:t>
      </w:r>
    </w:p>
    <w:p>
      <w:pPr>
        <w:pStyle w:val="13"/>
        <w:keepNext w:val="0"/>
        <w:keepLines w:val="0"/>
        <w:widowControl w:val="0"/>
        <w:shd w:val="clear" w:color="auto" w:fill="auto"/>
        <w:bidi w:val="0"/>
        <w:spacing w:before="0" w:after="540" w:line="562" w:lineRule="exact"/>
        <w:ind w:left="0" w:right="0"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盈利能力大幅下降、负债水平偏高、经营活动现金净流量为负数或者大幅减少的企业，其对外捐赠规模应当进行相应压缩。资不抵债、经营亏损或者捐赠行为影响正常生产经营的企业，一般不得安排对外捐赠支出。</w:t>
      </w:r>
    </w:p>
    <w:p>
      <w:pPr>
        <w:pStyle w:val="13"/>
        <w:keepNext w:val="0"/>
        <w:keepLines w:val="0"/>
        <w:widowControl w:val="0"/>
        <w:shd w:val="clear" w:color="auto" w:fill="auto"/>
        <w:bidi w:val="0"/>
        <w:spacing w:before="0" w:after="540" w:line="562" w:lineRule="exact"/>
        <w:ind w:left="0" w:right="0" w:firstLine="0"/>
        <w:jc w:val="center"/>
        <w:rPr>
          <w:rFonts w:hint="eastAsia" w:ascii="黑体" w:hAnsi="黑体" w:eastAsia="黑体" w:cs="黑体"/>
          <w:b/>
          <w:bCs/>
          <w:sz w:val="32"/>
          <w:szCs w:val="32"/>
        </w:rPr>
      </w:pPr>
      <w:r>
        <w:rPr>
          <w:rFonts w:hint="eastAsia" w:ascii="黑体" w:hAnsi="黑体" w:eastAsia="黑体" w:cs="黑体"/>
          <w:b/>
          <w:bCs/>
          <w:color w:val="000000"/>
          <w:spacing w:val="0"/>
          <w:w w:val="100"/>
          <w:position w:val="0"/>
          <w:sz w:val="32"/>
          <w:szCs w:val="32"/>
        </w:rPr>
        <w:t>第四章</w:t>
      </w:r>
      <w:r>
        <w:rPr>
          <w:rFonts w:hint="eastAsia" w:ascii="黑体" w:hAnsi="黑体" w:eastAsia="黑体" w:cs="黑体"/>
          <w:b/>
          <w:bCs/>
          <w:color w:val="000000"/>
          <w:spacing w:val="0"/>
          <w:w w:val="100"/>
          <w:position w:val="0"/>
          <w:sz w:val="32"/>
          <w:szCs w:val="32"/>
          <w:lang w:val="en-US" w:eastAsia="zh-CN"/>
        </w:rPr>
        <w:t xml:space="preserve">  </w:t>
      </w:r>
      <w:r>
        <w:rPr>
          <w:rFonts w:hint="eastAsia" w:ascii="黑体" w:hAnsi="黑体" w:eastAsia="黑体" w:cs="黑体"/>
          <w:b/>
          <w:bCs/>
          <w:color w:val="000000"/>
          <w:spacing w:val="0"/>
          <w:w w:val="100"/>
          <w:position w:val="0"/>
          <w:sz w:val="32"/>
          <w:szCs w:val="32"/>
        </w:rPr>
        <w:t>对外捐赠日常管理</w:t>
      </w:r>
    </w:p>
    <w:p>
      <w:pPr>
        <w:pStyle w:val="13"/>
        <w:keepNext w:val="0"/>
        <w:keepLines w:val="0"/>
        <w:widowControl w:val="0"/>
        <w:shd w:val="clear" w:color="auto" w:fill="auto"/>
        <w:bidi w:val="0"/>
        <w:spacing w:before="0" w:after="0" w:line="570" w:lineRule="exact"/>
        <w:ind w:left="0" w:right="0"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rPr>
        <w:t>第十条</w:t>
      </w:r>
      <w:r>
        <w:rPr>
          <w:rFonts w:hint="eastAsia" w:ascii="仿宋_GB2312" w:hAnsi="仿宋_GB2312" w:eastAsia="仿宋_GB2312" w:cs="仿宋_GB2312"/>
          <w:color w:val="000000"/>
          <w:spacing w:val="0"/>
          <w:w w:val="100"/>
          <w:position w:val="0"/>
          <w:sz w:val="32"/>
          <w:szCs w:val="32"/>
        </w:rPr>
        <w:t xml:space="preserve"> 企业对外捐赠实行统一管理，并严格履行国有企业 </w:t>
      </w:r>
      <w:r>
        <w:rPr>
          <w:rFonts w:hint="eastAsia" w:ascii="仿宋_GB2312" w:hAnsi="仿宋_GB2312" w:eastAsia="仿宋_GB2312" w:cs="仿宋_GB2312"/>
          <w:color w:val="000000"/>
          <w:spacing w:val="0"/>
          <w:w w:val="100"/>
          <w:position w:val="0"/>
          <w:sz w:val="32"/>
          <w:szCs w:val="32"/>
          <w:lang w:val="zh-CN" w:eastAsia="zh-CN" w:bidi="zh-CN"/>
        </w:rPr>
        <w:t>“三</w:t>
      </w:r>
      <w:r>
        <w:rPr>
          <w:rFonts w:hint="eastAsia" w:ascii="仿宋_GB2312" w:hAnsi="仿宋_GB2312" w:eastAsia="仿宋_GB2312" w:cs="仿宋_GB2312"/>
          <w:color w:val="000000"/>
          <w:spacing w:val="0"/>
          <w:w w:val="100"/>
          <w:position w:val="0"/>
          <w:sz w:val="32"/>
          <w:szCs w:val="32"/>
        </w:rPr>
        <w:t>重一大</w:t>
      </w:r>
      <w:r>
        <w:rPr>
          <w:rFonts w:hint="eastAsia" w:ascii="仿宋_GB2312" w:hAnsi="仿宋_GB2312" w:eastAsia="仿宋_GB2312" w:cs="仿宋_GB2312"/>
          <w:color w:val="000000"/>
          <w:spacing w:val="0"/>
          <w:w w:val="100"/>
          <w:position w:val="0"/>
          <w:sz w:val="32"/>
          <w:szCs w:val="32"/>
          <w:lang w:val="zh-CN" w:eastAsia="zh-CN" w:bidi="zh-CN"/>
        </w:rPr>
        <w:t>”决策</w:t>
      </w:r>
      <w:r>
        <w:rPr>
          <w:rFonts w:hint="eastAsia" w:ascii="仿宋_GB2312" w:hAnsi="仿宋_GB2312" w:eastAsia="仿宋_GB2312" w:cs="仿宋_GB2312"/>
          <w:color w:val="000000"/>
          <w:spacing w:val="0"/>
          <w:w w:val="100"/>
          <w:position w:val="0"/>
          <w:sz w:val="32"/>
          <w:szCs w:val="32"/>
        </w:rPr>
        <w:t>程序。未经企业集团（总部）同意，各所属企业不得擅自对外捐赠。</w:t>
      </w:r>
    </w:p>
    <w:p>
      <w:pPr>
        <w:pStyle w:val="13"/>
        <w:keepNext w:val="0"/>
        <w:keepLines w:val="0"/>
        <w:widowControl w:val="0"/>
        <w:shd w:val="clear" w:color="auto" w:fill="auto"/>
        <w:bidi w:val="0"/>
        <w:spacing w:before="0" w:after="0" w:line="570" w:lineRule="exact"/>
        <w:ind w:left="0" w:right="0"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企业应当及时修订和完善对外捐赠管理制度，明确对外捐赠事项的管理部门，落实管理责任，规范内部审批程序，细化对外捐赠审核流程，合理确定企业对外捐赠的支出限额和权限。</w:t>
      </w:r>
    </w:p>
    <w:p>
      <w:pPr>
        <w:pStyle w:val="13"/>
        <w:keepNext w:val="0"/>
        <w:keepLines w:val="0"/>
        <w:widowControl w:val="0"/>
        <w:shd w:val="clear" w:color="auto" w:fill="auto"/>
        <w:bidi w:val="0"/>
        <w:spacing w:before="0" w:after="0" w:line="570" w:lineRule="exact"/>
        <w:ind w:left="0" w:right="0" w:firstLine="660"/>
        <w:jc w:val="both"/>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rPr>
        <w:t>第十一条</w:t>
      </w:r>
      <w:r>
        <w:rPr>
          <w:rFonts w:hint="eastAsia" w:ascii="仿宋_GB2312" w:hAnsi="仿宋_GB2312" w:eastAsia="仿宋_GB2312" w:cs="仿宋_GB2312"/>
          <w:b/>
          <w:bCs/>
          <w:color w:val="000000"/>
          <w:spacing w:val="0"/>
          <w:w w:val="100"/>
          <w:position w:val="0"/>
          <w:sz w:val="32"/>
          <w:szCs w:val="32"/>
          <w:lang w:val="en-US" w:eastAsia="zh-CN"/>
        </w:rPr>
        <w:t xml:space="preserve"> </w:t>
      </w:r>
      <w:r>
        <w:rPr>
          <w:rFonts w:eastAsia="仿宋_GB2312"/>
          <w:szCs w:val="32"/>
        </w:rPr>
        <w:t>企</w:t>
      </w:r>
      <w:r>
        <w:rPr>
          <w:rFonts w:hint="eastAsia" w:ascii="仿宋_GB2312" w:hAnsi="仿宋_GB2312" w:eastAsia="仿宋_GB2312" w:cs="仿宋_GB2312"/>
          <w:color w:val="000000"/>
          <w:spacing w:val="0"/>
          <w:w w:val="100"/>
          <w:position w:val="0"/>
          <w:sz w:val="32"/>
          <w:szCs w:val="32"/>
        </w:rPr>
        <w:t>业应将对外捐赠支出纳入年度预决算管理。</w:t>
      </w:r>
    </w:p>
    <w:p>
      <w:pPr>
        <w:pStyle w:val="13"/>
        <w:keepNext w:val="0"/>
        <w:keepLines w:val="0"/>
        <w:widowControl w:val="0"/>
        <w:shd w:val="clear" w:color="auto" w:fill="auto"/>
        <w:bidi w:val="0"/>
        <w:spacing w:before="0" w:after="0" w:line="570" w:lineRule="exact"/>
        <w:ind w:left="0" w:right="0" w:firstLine="660"/>
        <w:jc w:val="both"/>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在年度预算报告中，企业应就全年对外捐赠项目、捐赠事由、捐赠资产、捐赠范围及捐赠规模等预算安排作出详细说明。</w:t>
      </w:r>
    </w:p>
    <w:p>
      <w:pPr>
        <w:pStyle w:val="13"/>
        <w:keepNext w:val="0"/>
        <w:keepLines w:val="0"/>
        <w:widowControl w:val="0"/>
        <w:shd w:val="clear" w:color="auto" w:fill="auto"/>
        <w:bidi w:val="0"/>
        <w:spacing w:before="0" w:after="0" w:line="570" w:lineRule="exact"/>
        <w:ind w:left="0" w:right="0" w:firstLine="660"/>
        <w:jc w:val="both"/>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在预算执行过程中，除重大自然灾害或突发性事件需要紧急安排的对外捐赠外，企业原则上不得安排超出预算范围和金额的捐赠项目。凡涉及超预算调整事项，应当履行内部相应决策程序后，向</w:t>
      </w:r>
      <w:r>
        <w:rPr>
          <w:rFonts w:hint="eastAsia" w:ascii="仿宋_GB2312" w:hAnsi="仿宋_GB2312" w:eastAsia="仿宋_GB2312" w:cs="仿宋_GB2312"/>
          <w:color w:val="000000"/>
          <w:spacing w:val="0"/>
          <w:w w:val="100"/>
          <w:position w:val="0"/>
          <w:sz w:val="32"/>
          <w:szCs w:val="32"/>
          <w:lang w:eastAsia="zh-CN"/>
        </w:rPr>
        <w:t>区</w:t>
      </w:r>
      <w:r>
        <w:rPr>
          <w:rFonts w:hint="eastAsia" w:ascii="仿宋_GB2312" w:hAnsi="仿宋_GB2312" w:eastAsia="仿宋_GB2312" w:cs="仿宋_GB2312"/>
          <w:color w:val="000000"/>
          <w:spacing w:val="0"/>
          <w:w w:val="100"/>
          <w:position w:val="0"/>
          <w:sz w:val="32"/>
          <w:szCs w:val="32"/>
        </w:rPr>
        <w:t>国资委履行预算调整程序。</w:t>
      </w:r>
    </w:p>
    <w:p>
      <w:pPr>
        <w:pStyle w:val="13"/>
        <w:keepNext w:val="0"/>
        <w:keepLines w:val="0"/>
        <w:widowControl w:val="0"/>
        <w:shd w:val="clear" w:color="auto" w:fill="auto"/>
        <w:bidi w:val="0"/>
        <w:spacing w:before="0" w:after="0" w:line="570" w:lineRule="exact"/>
        <w:ind w:left="0" w:right="0" w:firstLine="660"/>
        <w:jc w:val="both"/>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在年度财务决算报告中，企业应就当年对外捐赠的实施情况及预算执行情况</w:t>
      </w:r>
      <w:r>
        <w:rPr>
          <w:rFonts w:hint="eastAsia" w:ascii="仿宋_GB2312" w:hAnsi="仿宋_GB2312" w:eastAsia="仿宋_GB2312" w:cs="仿宋_GB2312"/>
          <w:color w:val="000000"/>
          <w:spacing w:val="0"/>
          <w:w w:val="100"/>
          <w:position w:val="0"/>
          <w:sz w:val="32"/>
          <w:szCs w:val="32"/>
          <w:lang w:eastAsia="zh-CN"/>
        </w:rPr>
        <w:t>在《财务专项说明书》中</w:t>
      </w:r>
      <w:r>
        <w:rPr>
          <w:rFonts w:hint="eastAsia" w:ascii="仿宋_GB2312" w:hAnsi="仿宋_GB2312" w:eastAsia="仿宋_GB2312" w:cs="仿宋_GB2312"/>
          <w:color w:val="000000"/>
          <w:spacing w:val="0"/>
          <w:w w:val="100"/>
          <w:position w:val="0"/>
          <w:sz w:val="32"/>
          <w:szCs w:val="32"/>
        </w:rPr>
        <w:t>进行说明。</w:t>
      </w:r>
    </w:p>
    <w:p>
      <w:pPr>
        <w:pStyle w:val="13"/>
        <w:keepNext w:val="0"/>
        <w:keepLines w:val="0"/>
        <w:widowControl w:val="0"/>
        <w:shd w:val="clear" w:color="auto" w:fill="auto"/>
        <w:bidi w:val="0"/>
        <w:spacing w:before="0" w:after="0" w:line="562" w:lineRule="exact"/>
        <w:ind w:left="0" w:right="0" w:firstLine="680"/>
        <w:jc w:val="both"/>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rPr>
        <w:t>第十</w:t>
      </w:r>
      <w:r>
        <w:rPr>
          <w:rFonts w:hint="eastAsia" w:ascii="仿宋_GB2312" w:hAnsi="仿宋_GB2312" w:eastAsia="仿宋_GB2312" w:cs="仿宋_GB2312"/>
          <w:b/>
          <w:bCs/>
          <w:color w:val="000000"/>
          <w:spacing w:val="0"/>
          <w:w w:val="100"/>
          <w:position w:val="0"/>
          <w:sz w:val="32"/>
          <w:szCs w:val="32"/>
          <w:lang w:eastAsia="zh-CN"/>
        </w:rPr>
        <w:t>二</w:t>
      </w:r>
      <w:r>
        <w:rPr>
          <w:rFonts w:hint="eastAsia" w:ascii="仿宋_GB2312" w:hAnsi="仿宋_GB2312" w:eastAsia="仿宋_GB2312" w:cs="仿宋_GB2312"/>
          <w:b/>
          <w:bCs/>
          <w:color w:val="000000"/>
          <w:spacing w:val="0"/>
          <w:w w:val="100"/>
          <w:position w:val="0"/>
          <w:sz w:val="32"/>
          <w:szCs w:val="32"/>
        </w:rPr>
        <w:t>条</w:t>
      </w:r>
      <w:r>
        <w:rPr>
          <w:rFonts w:hint="eastAsia" w:ascii="仿宋_GB2312" w:hAnsi="仿宋_GB2312" w:eastAsia="仿宋_GB2312" w:cs="仿宋_GB2312"/>
          <w:b/>
          <w:bCs/>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lang w:eastAsia="zh-CN"/>
        </w:rPr>
        <w:t>区</w:t>
      </w:r>
      <w:r>
        <w:rPr>
          <w:rFonts w:hint="eastAsia" w:ascii="仿宋_GB2312" w:hAnsi="仿宋_GB2312" w:eastAsia="仿宋_GB2312" w:cs="仿宋_GB2312"/>
          <w:color w:val="000000"/>
          <w:spacing w:val="0"/>
          <w:w w:val="100"/>
          <w:position w:val="0"/>
          <w:sz w:val="32"/>
          <w:szCs w:val="32"/>
        </w:rPr>
        <w:t>国资委对监管企业对外捐赠事项实行备案管理制度。</w:t>
      </w:r>
    </w:p>
    <w:p>
      <w:pPr>
        <w:spacing w:line="560" w:lineRule="exact"/>
        <w:ind w:firstLine="640" w:firstLineChars="200"/>
        <w:rPr>
          <w:rFonts w:hint="eastAsia" w:ascii="仿宋_GB2312" w:hAnsi="仿宋_GB2312" w:eastAsia="仿宋_GB2312" w:cs="仿宋_GB2312"/>
          <w:sz w:val="32"/>
          <w:szCs w:val="32"/>
        </w:rPr>
      </w:pPr>
      <w:bookmarkStart w:id="44" w:name="bookmark17"/>
      <w:r>
        <w:rPr>
          <w:rFonts w:hint="eastAsia" w:ascii="仿宋_GB2312" w:hAnsi="仿宋_GB2312" w:eastAsia="仿宋_GB2312" w:cs="仿宋_GB2312"/>
          <w:color w:val="000000"/>
          <w:spacing w:val="0"/>
          <w:w w:val="100"/>
          <w:position w:val="0"/>
          <w:sz w:val="32"/>
          <w:szCs w:val="32"/>
        </w:rPr>
        <w:t>（</w:t>
      </w:r>
      <w:bookmarkEnd w:id="44"/>
      <w:r>
        <w:rPr>
          <w:rFonts w:hint="eastAsia" w:ascii="仿宋_GB2312" w:hAnsi="仿宋_GB2312" w:eastAsia="仿宋_GB2312" w:cs="仿宋_GB2312"/>
          <w:color w:val="000000"/>
          <w:spacing w:val="0"/>
          <w:w w:val="100"/>
          <w:position w:val="0"/>
          <w:sz w:val="32"/>
          <w:szCs w:val="32"/>
        </w:rPr>
        <w:t>一）企业捐赠行为实际发生时捐赠项目</w:t>
      </w:r>
      <w:r>
        <w:rPr>
          <w:rFonts w:hint="eastAsia" w:ascii="仿宋_GB2312" w:hAnsi="仿宋_GB2312" w:eastAsia="仿宋_GB2312" w:cs="仿宋_GB2312"/>
          <w:color w:val="000000"/>
          <w:spacing w:val="0"/>
          <w:w w:val="100"/>
          <w:position w:val="0"/>
          <w:sz w:val="32"/>
          <w:szCs w:val="32"/>
          <w:lang w:eastAsia="zh-CN"/>
        </w:rPr>
        <w:t>最高不得</w:t>
      </w:r>
      <w:r>
        <w:rPr>
          <w:rFonts w:hint="eastAsia" w:ascii="仿宋_GB2312" w:hAnsi="仿宋_GB2312" w:eastAsia="仿宋_GB2312" w:cs="仿宋_GB2312"/>
          <w:color w:val="000000"/>
          <w:spacing w:val="0"/>
          <w:w w:val="100"/>
          <w:position w:val="0"/>
          <w:sz w:val="32"/>
          <w:szCs w:val="32"/>
        </w:rPr>
        <w:t>超过</w:t>
      </w:r>
      <w:r>
        <w:rPr>
          <w:rFonts w:hint="eastAsia" w:ascii="仿宋_GB2312" w:hAnsi="仿宋_GB2312" w:eastAsia="仿宋_GB2312" w:cs="仿宋_GB2312"/>
          <w:color w:val="000000"/>
          <w:spacing w:val="0"/>
          <w:w w:val="100"/>
          <w:position w:val="0"/>
          <w:sz w:val="32"/>
          <w:szCs w:val="32"/>
          <w:lang w:val="en-US" w:eastAsia="zh-CN"/>
        </w:rPr>
        <w:t>50万元</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eastAsia="zh-CN"/>
        </w:rPr>
        <w:t>同时，企业</w:t>
      </w:r>
      <w:r>
        <w:rPr>
          <w:rFonts w:hint="eastAsia" w:ascii="仿宋_GB2312" w:hAnsi="仿宋_GB2312" w:eastAsia="仿宋_GB2312" w:cs="仿宋_GB2312"/>
          <w:color w:val="000000"/>
          <w:spacing w:val="0"/>
          <w:w w:val="100"/>
          <w:position w:val="0"/>
          <w:sz w:val="32"/>
          <w:szCs w:val="32"/>
        </w:rPr>
        <w:t>应当</w:t>
      </w:r>
      <w:r>
        <w:rPr>
          <w:rFonts w:hint="eastAsia" w:ascii="仿宋_GB2312" w:hAnsi="仿宋_GB2312" w:eastAsia="仿宋_GB2312" w:cs="仿宋_GB2312"/>
          <w:color w:val="000000"/>
          <w:spacing w:val="0"/>
          <w:w w:val="100"/>
          <w:position w:val="0"/>
          <w:sz w:val="32"/>
          <w:szCs w:val="32"/>
          <w:lang w:eastAsia="zh-CN"/>
        </w:rPr>
        <w:t>在捐赠行为发生之时起</w:t>
      </w:r>
      <w:r>
        <w:rPr>
          <w:rFonts w:hint="eastAsia" w:ascii="仿宋_GB2312" w:hAnsi="仿宋_GB2312" w:eastAsia="仿宋_GB2312" w:cs="仿宋_GB2312"/>
          <w:color w:val="000000"/>
          <w:spacing w:val="0"/>
          <w:w w:val="100"/>
          <w:position w:val="0"/>
          <w:sz w:val="32"/>
          <w:szCs w:val="32"/>
        </w:rPr>
        <w:t>5个工作日内报</w:t>
      </w:r>
      <w:r>
        <w:rPr>
          <w:rFonts w:hint="eastAsia" w:ascii="仿宋_GB2312" w:hAnsi="仿宋_GB2312" w:eastAsia="仿宋_GB2312" w:cs="仿宋_GB2312"/>
          <w:color w:val="000000"/>
          <w:spacing w:val="0"/>
          <w:w w:val="100"/>
          <w:position w:val="0"/>
          <w:sz w:val="32"/>
          <w:szCs w:val="32"/>
          <w:lang w:eastAsia="zh-CN"/>
        </w:rPr>
        <w:t>区</w:t>
      </w:r>
      <w:r>
        <w:rPr>
          <w:rFonts w:hint="eastAsia" w:ascii="仿宋_GB2312" w:hAnsi="仿宋_GB2312" w:eastAsia="仿宋_GB2312" w:cs="仿宋_GB2312"/>
          <w:color w:val="000000"/>
          <w:spacing w:val="0"/>
          <w:w w:val="100"/>
          <w:position w:val="0"/>
          <w:sz w:val="32"/>
          <w:szCs w:val="32"/>
        </w:rPr>
        <w:t>国资委备案。</w:t>
      </w:r>
      <w:r>
        <w:rPr>
          <w:rFonts w:hint="eastAsia" w:ascii="仿宋_GB2312" w:hAnsi="仿宋_GB2312" w:eastAsia="仿宋_GB2312" w:cs="仿宋_GB2312"/>
          <w:sz w:val="32"/>
          <w:szCs w:val="32"/>
          <w:u w:val="none"/>
          <w:lang w:val="en-US" w:eastAsia="zh-CN"/>
        </w:rPr>
        <w:t>对50万元（含50万元）以上</w:t>
      </w:r>
      <w:r>
        <w:rPr>
          <w:rFonts w:hint="eastAsia" w:ascii="仿宋_GB2312" w:hAnsi="仿宋_GB2312" w:eastAsia="仿宋_GB2312" w:cs="仿宋_GB2312"/>
          <w:sz w:val="32"/>
          <w:szCs w:val="32"/>
          <w:u w:val="none"/>
        </w:rPr>
        <w:t>捐赠</w:t>
      </w:r>
      <w:r>
        <w:rPr>
          <w:rFonts w:hint="eastAsia" w:ascii="仿宋_GB2312" w:hAnsi="仿宋_GB2312" w:eastAsia="仿宋_GB2312" w:cs="仿宋_GB2312"/>
          <w:sz w:val="32"/>
          <w:szCs w:val="32"/>
          <w:u w:val="none"/>
          <w:lang w:eastAsia="zh-CN"/>
        </w:rPr>
        <w:t>项目</w:t>
      </w:r>
      <w:r>
        <w:rPr>
          <w:rFonts w:hint="eastAsia" w:ascii="仿宋_GB2312" w:hAnsi="仿宋_GB2312" w:eastAsia="仿宋_GB2312" w:cs="仿宋_GB2312"/>
          <w:sz w:val="32"/>
          <w:szCs w:val="32"/>
          <w:u w:val="none"/>
        </w:rPr>
        <w:t>经区国资委</w:t>
      </w:r>
      <w:r>
        <w:rPr>
          <w:rFonts w:ascii="Times New Roman" w:hAnsi="仿宋_GB2312" w:eastAsia="仿宋_GB2312" w:cs="Times New Roman"/>
          <w:sz w:val="32"/>
          <w:szCs w:val="32"/>
          <w:u w:val="none"/>
        </w:rPr>
        <w:t>审核</w:t>
      </w:r>
      <w:r>
        <w:rPr>
          <w:rFonts w:hint="eastAsia" w:ascii="Times New Roman" w:hAnsi="仿宋_GB2312" w:eastAsia="仿宋_GB2312" w:cs="Times New Roman"/>
          <w:sz w:val="32"/>
          <w:szCs w:val="32"/>
          <w:u w:val="none"/>
        </w:rPr>
        <w:t>通过</w:t>
      </w:r>
      <w:r>
        <w:rPr>
          <w:rFonts w:ascii="Times New Roman" w:hAnsi="仿宋_GB2312" w:eastAsia="仿宋_GB2312" w:cs="Times New Roman"/>
          <w:sz w:val="32"/>
          <w:szCs w:val="32"/>
          <w:u w:val="none"/>
        </w:rPr>
        <w:t>后</w:t>
      </w:r>
      <w:r>
        <w:rPr>
          <w:rFonts w:hint="eastAsia" w:ascii="Times New Roman" w:hAnsi="仿宋_GB2312" w:eastAsia="仿宋_GB2312" w:cs="Times New Roman"/>
          <w:sz w:val="32"/>
          <w:szCs w:val="32"/>
          <w:u w:val="none"/>
        </w:rPr>
        <w:t>由区国资委报区政府，提请区长办公会议</w:t>
      </w:r>
      <w:r>
        <w:rPr>
          <w:rFonts w:hint="eastAsia" w:ascii="Times New Roman" w:hAnsi="仿宋_GB2312" w:eastAsia="仿宋_GB2312" w:cs="Times New Roman"/>
          <w:sz w:val="32"/>
          <w:szCs w:val="32"/>
          <w:u w:val="none"/>
          <w:lang w:val="en-US" w:eastAsia="zh-CN"/>
        </w:rPr>
        <w:t>审定</w:t>
      </w:r>
      <w:r>
        <w:rPr>
          <w:rFonts w:hint="eastAsia" w:hAnsi="仿宋_GB2312" w:eastAsia="仿宋_GB2312" w:cs="Times New Roman"/>
          <w:sz w:val="32"/>
          <w:szCs w:val="32"/>
          <w:u w:val="none"/>
          <w:lang w:eastAsia="zh-CN"/>
        </w:rPr>
        <w:t>。</w:t>
      </w:r>
    </w:p>
    <w:p>
      <w:pPr>
        <w:pStyle w:val="13"/>
        <w:keepNext w:val="0"/>
        <w:keepLines w:val="0"/>
        <w:widowControl w:val="0"/>
        <w:shd w:val="clear" w:color="auto" w:fill="auto"/>
        <w:tabs>
          <w:tab w:val="left" w:pos="1653"/>
        </w:tabs>
        <w:bidi w:val="0"/>
        <w:spacing w:before="0" w:after="0" w:line="554" w:lineRule="exact"/>
        <w:ind w:left="0" w:right="0" w:firstLine="800"/>
        <w:jc w:val="both"/>
        <w:rPr>
          <w:rFonts w:hint="eastAsia" w:ascii="仿宋_GB2312" w:hAnsi="仿宋_GB2312" w:eastAsia="仿宋_GB2312" w:cs="仿宋_GB2312"/>
          <w:sz w:val="32"/>
          <w:szCs w:val="32"/>
        </w:rPr>
      </w:pPr>
      <w:bookmarkStart w:id="45" w:name="bookmark18"/>
      <w:r>
        <w:rPr>
          <w:rFonts w:hint="eastAsia" w:ascii="仿宋_GB2312" w:hAnsi="仿宋_GB2312" w:eastAsia="仿宋_GB2312" w:cs="仿宋_GB2312"/>
          <w:color w:val="000000"/>
          <w:spacing w:val="0"/>
          <w:w w:val="100"/>
          <w:position w:val="0"/>
          <w:sz w:val="32"/>
          <w:szCs w:val="32"/>
        </w:rPr>
        <w:t>（</w:t>
      </w:r>
      <w:bookmarkEnd w:id="45"/>
      <w:r>
        <w:rPr>
          <w:rFonts w:hint="eastAsia" w:ascii="仿宋_GB2312" w:hAnsi="仿宋_GB2312" w:eastAsia="仿宋_GB2312" w:cs="仿宋_GB2312"/>
          <w:color w:val="000000"/>
          <w:spacing w:val="0"/>
          <w:w w:val="100"/>
          <w:position w:val="0"/>
          <w:sz w:val="32"/>
          <w:szCs w:val="32"/>
        </w:rPr>
        <w:t>二）对于突发性重大自然灾害或者其他特殊事项需要紧急安排对外捐赠支出，不论金额大小，企业在履行内部决策程序之后，立即将紧急安排对外捐赠情况形成专项报告上报</w:t>
      </w:r>
      <w:r>
        <w:rPr>
          <w:rFonts w:hint="eastAsia" w:ascii="仿宋_GB2312" w:hAnsi="仿宋_GB2312" w:eastAsia="仿宋_GB2312" w:cs="仿宋_GB2312"/>
          <w:color w:val="000000"/>
          <w:spacing w:val="0"/>
          <w:w w:val="100"/>
          <w:position w:val="0"/>
          <w:sz w:val="32"/>
          <w:szCs w:val="32"/>
          <w:lang w:eastAsia="zh-CN"/>
        </w:rPr>
        <w:t>区国资委</w:t>
      </w:r>
      <w:r>
        <w:rPr>
          <w:rFonts w:hint="eastAsia" w:ascii="仿宋_GB2312" w:hAnsi="仿宋_GB2312" w:eastAsia="仿宋_GB2312" w:cs="仿宋_GB2312"/>
          <w:color w:val="000000"/>
          <w:spacing w:val="0"/>
          <w:w w:val="100"/>
          <w:position w:val="0"/>
          <w:sz w:val="32"/>
          <w:szCs w:val="32"/>
        </w:rPr>
        <w:t>，并在2个工作日内向</w:t>
      </w:r>
      <w:r>
        <w:rPr>
          <w:rFonts w:hint="eastAsia" w:ascii="仿宋_GB2312" w:hAnsi="仿宋_GB2312" w:eastAsia="仿宋_GB2312" w:cs="仿宋_GB2312"/>
          <w:color w:val="000000"/>
          <w:spacing w:val="0"/>
          <w:w w:val="100"/>
          <w:position w:val="0"/>
          <w:sz w:val="32"/>
          <w:szCs w:val="32"/>
          <w:lang w:eastAsia="zh-CN"/>
        </w:rPr>
        <w:t>区</w:t>
      </w:r>
      <w:r>
        <w:rPr>
          <w:rFonts w:hint="eastAsia" w:ascii="仿宋_GB2312" w:hAnsi="仿宋_GB2312" w:eastAsia="仿宋_GB2312" w:cs="仿宋_GB2312"/>
          <w:color w:val="000000"/>
          <w:spacing w:val="0"/>
          <w:w w:val="100"/>
          <w:position w:val="0"/>
          <w:sz w:val="32"/>
          <w:szCs w:val="32"/>
        </w:rPr>
        <w:t>国资委备案。</w:t>
      </w:r>
    </w:p>
    <w:p>
      <w:pPr>
        <w:pStyle w:val="13"/>
        <w:keepNext w:val="0"/>
        <w:keepLines w:val="0"/>
        <w:widowControl w:val="0"/>
        <w:shd w:val="clear" w:color="auto" w:fill="auto"/>
        <w:bidi w:val="0"/>
        <w:spacing w:before="0" w:after="0" w:line="560" w:lineRule="exact"/>
        <w:ind w:left="0" w:right="0" w:firstLine="680"/>
        <w:jc w:val="both"/>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rPr>
        <w:t>第十</w:t>
      </w:r>
      <w:r>
        <w:rPr>
          <w:rFonts w:hint="eastAsia" w:ascii="仿宋_GB2312" w:hAnsi="仿宋_GB2312" w:eastAsia="仿宋_GB2312" w:cs="仿宋_GB2312"/>
          <w:b/>
          <w:bCs/>
          <w:color w:val="000000"/>
          <w:spacing w:val="0"/>
          <w:w w:val="100"/>
          <w:position w:val="0"/>
          <w:sz w:val="32"/>
          <w:szCs w:val="32"/>
          <w:lang w:eastAsia="zh-CN"/>
        </w:rPr>
        <w:t>三</w:t>
      </w:r>
      <w:r>
        <w:rPr>
          <w:rFonts w:hint="eastAsia" w:ascii="仿宋_GB2312" w:hAnsi="仿宋_GB2312" w:eastAsia="仿宋_GB2312" w:cs="仿宋_GB2312"/>
          <w:b/>
          <w:bCs/>
          <w:color w:val="000000"/>
          <w:spacing w:val="0"/>
          <w:w w:val="100"/>
          <w:position w:val="0"/>
          <w:sz w:val="32"/>
          <w:szCs w:val="32"/>
        </w:rPr>
        <w:t>条</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报送</w:t>
      </w:r>
      <w:r>
        <w:rPr>
          <w:rFonts w:hint="eastAsia" w:ascii="仿宋_GB2312" w:hAnsi="仿宋_GB2312" w:eastAsia="仿宋_GB2312" w:cs="仿宋_GB2312"/>
          <w:color w:val="000000"/>
          <w:spacing w:val="0"/>
          <w:w w:val="100"/>
          <w:position w:val="0"/>
          <w:sz w:val="32"/>
          <w:szCs w:val="32"/>
          <w:lang w:eastAsia="zh-CN"/>
        </w:rPr>
        <w:t>区</w:t>
      </w:r>
      <w:r>
        <w:rPr>
          <w:rFonts w:hint="eastAsia" w:ascii="仿宋_GB2312" w:hAnsi="仿宋_GB2312" w:eastAsia="仿宋_GB2312" w:cs="仿宋_GB2312"/>
          <w:color w:val="000000"/>
          <w:spacing w:val="0"/>
          <w:w w:val="100"/>
          <w:position w:val="0"/>
          <w:sz w:val="32"/>
          <w:szCs w:val="32"/>
        </w:rPr>
        <w:t>国资委备案的材料包括：企业对外捐赠备案情况说明，包括捐赠事由、捐赠对象、捐赠途径、捐赠财产类型及捐款金额等；企业董事会或内部决策机构决议；《</w:t>
      </w:r>
      <w:r>
        <w:rPr>
          <w:rFonts w:hint="eastAsia" w:ascii="仿宋_GB2312" w:hAnsi="仿宋_GB2312" w:eastAsia="仿宋_GB2312" w:cs="仿宋_GB2312"/>
          <w:color w:val="000000"/>
          <w:spacing w:val="0"/>
          <w:w w:val="100"/>
          <w:position w:val="0"/>
          <w:sz w:val="32"/>
          <w:szCs w:val="32"/>
          <w:lang w:eastAsia="zh-CN"/>
        </w:rPr>
        <w:t>蓟州区</w:t>
      </w:r>
      <w:r>
        <w:rPr>
          <w:rFonts w:hint="eastAsia" w:ascii="仿宋_GB2312" w:hAnsi="仿宋_GB2312" w:eastAsia="仿宋_GB2312" w:cs="仿宋_GB2312"/>
          <w:color w:val="000000"/>
          <w:spacing w:val="0"/>
          <w:w w:val="100"/>
          <w:position w:val="0"/>
          <w:sz w:val="32"/>
          <w:szCs w:val="32"/>
        </w:rPr>
        <w:t>国资委监管企业对外捐赠备案表》；其他需要报送的材料。</w:t>
      </w:r>
    </w:p>
    <w:p>
      <w:pPr>
        <w:pStyle w:val="13"/>
        <w:keepNext w:val="0"/>
        <w:keepLines w:val="0"/>
        <w:widowControl w:val="0"/>
        <w:shd w:val="clear" w:color="auto" w:fill="auto"/>
        <w:bidi w:val="0"/>
        <w:spacing w:before="0" w:after="0" w:line="560" w:lineRule="exact"/>
        <w:ind w:left="0" w:right="0" w:firstLine="700"/>
        <w:jc w:val="both"/>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rPr>
        <w:t>第十</w:t>
      </w:r>
      <w:r>
        <w:rPr>
          <w:rFonts w:hint="eastAsia" w:ascii="仿宋_GB2312" w:hAnsi="仿宋_GB2312" w:eastAsia="仿宋_GB2312" w:cs="仿宋_GB2312"/>
          <w:b/>
          <w:bCs/>
          <w:color w:val="000000"/>
          <w:spacing w:val="0"/>
          <w:w w:val="100"/>
          <w:position w:val="0"/>
          <w:sz w:val="32"/>
          <w:szCs w:val="32"/>
          <w:lang w:eastAsia="zh-CN"/>
        </w:rPr>
        <w:t>四</w:t>
      </w:r>
      <w:r>
        <w:rPr>
          <w:rFonts w:hint="eastAsia" w:ascii="仿宋_GB2312" w:hAnsi="仿宋_GB2312" w:eastAsia="仿宋_GB2312" w:cs="仿宋_GB2312"/>
          <w:b/>
          <w:bCs/>
          <w:color w:val="000000"/>
          <w:spacing w:val="0"/>
          <w:w w:val="100"/>
          <w:position w:val="0"/>
          <w:sz w:val="32"/>
          <w:szCs w:val="32"/>
        </w:rPr>
        <w:t>条</w:t>
      </w:r>
      <w:r>
        <w:rPr>
          <w:rFonts w:hint="eastAsia" w:ascii="仿宋_GB2312" w:hAnsi="仿宋_GB2312" w:eastAsia="仿宋_GB2312" w:cs="仿宋_GB2312"/>
          <w:color w:val="000000"/>
          <w:spacing w:val="0"/>
          <w:w w:val="100"/>
          <w:position w:val="0"/>
          <w:sz w:val="32"/>
          <w:szCs w:val="32"/>
          <w:lang w:eastAsia="zh-CN"/>
        </w:rPr>
        <w:t>　</w:t>
      </w:r>
      <w:r>
        <w:rPr>
          <w:rFonts w:hint="eastAsia" w:ascii="仿宋_GB2312" w:hAnsi="仿宋_GB2312" w:eastAsia="仿宋_GB2312" w:cs="仿宋_GB2312"/>
          <w:color w:val="000000"/>
          <w:spacing w:val="0"/>
          <w:w w:val="100"/>
          <w:position w:val="0"/>
          <w:sz w:val="32"/>
          <w:szCs w:val="32"/>
        </w:rPr>
        <w:t>企业应按季度汇总集团本部及其所属企业全部对外捐赠情况，填报《</w:t>
      </w:r>
      <w:r>
        <w:rPr>
          <w:rFonts w:hint="eastAsia" w:ascii="仿宋_GB2312" w:hAnsi="仿宋_GB2312" w:eastAsia="仿宋_GB2312" w:cs="仿宋_GB2312"/>
          <w:color w:val="000000"/>
          <w:spacing w:val="0"/>
          <w:w w:val="100"/>
          <w:position w:val="0"/>
          <w:sz w:val="32"/>
          <w:szCs w:val="32"/>
          <w:lang w:eastAsia="zh-CN"/>
        </w:rPr>
        <w:t>蓟</w:t>
      </w:r>
      <w:r>
        <w:rPr>
          <w:rFonts w:hint="eastAsia" w:ascii="仿宋_GB2312" w:hAnsi="仿宋_GB2312" w:eastAsia="仿宋_GB2312" w:cs="仿宋_GB2312"/>
          <w:color w:val="000000"/>
          <w:spacing w:val="0"/>
          <w:w w:val="100"/>
          <w:position w:val="0"/>
          <w:sz w:val="32"/>
          <w:szCs w:val="32"/>
        </w:rPr>
        <w:t>国资委监管企业对外捐赠季报表》，在季度终了后</w:t>
      </w:r>
      <w:r>
        <w:rPr>
          <w:rFonts w:hint="eastAsia" w:ascii="仿宋_GB2312" w:hAnsi="仿宋_GB2312" w:eastAsia="仿宋_GB2312" w:cs="仿宋_GB2312"/>
          <w:color w:val="000000"/>
          <w:spacing w:val="0"/>
          <w:w w:val="100"/>
          <w:position w:val="0"/>
          <w:sz w:val="32"/>
          <w:szCs w:val="32"/>
          <w:lang w:eastAsia="zh-CN"/>
        </w:rPr>
        <w:t>７</w:t>
      </w:r>
      <w:r>
        <w:rPr>
          <w:rFonts w:hint="eastAsia" w:ascii="仿宋_GB2312" w:hAnsi="仿宋_GB2312" w:eastAsia="仿宋_GB2312" w:cs="仿宋_GB2312"/>
          <w:color w:val="000000"/>
          <w:spacing w:val="0"/>
          <w:w w:val="100"/>
          <w:position w:val="0"/>
          <w:sz w:val="32"/>
          <w:szCs w:val="32"/>
        </w:rPr>
        <w:t>个工作日内报送</w:t>
      </w:r>
      <w:r>
        <w:rPr>
          <w:rFonts w:hint="eastAsia" w:ascii="仿宋_GB2312" w:hAnsi="仿宋_GB2312" w:eastAsia="仿宋_GB2312" w:cs="仿宋_GB2312"/>
          <w:color w:val="000000"/>
          <w:spacing w:val="0"/>
          <w:w w:val="100"/>
          <w:position w:val="0"/>
          <w:sz w:val="32"/>
          <w:szCs w:val="32"/>
          <w:lang w:eastAsia="zh-CN"/>
        </w:rPr>
        <w:t>区</w:t>
      </w:r>
      <w:r>
        <w:rPr>
          <w:rFonts w:hint="eastAsia" w:ascii="仿宋_GB2312" w:hAnsi="仿宋_GB2312" w:eastAsia="仿宋_GB2312" w:cs="仿宋_GB2312"/>
          <w:color w:val="000000"/>
          <w:spacing w:val="0"/>
          <w:w w:val="100"/>
          <w:position w:val="0"/>
          <w:sz w:val="32"/>
          <w:szCs w:val="32"/>
        </w:rPr>
        <w:t>国资委。</w:t>
      </w:r>
    </w:p>
    <w:p>
      <w:pPr>
        <w:pStyle w:val="13"/>
        <w:keepNext w:val="0"/>
        <w:keepLines w:val="0"/>
        <w:widowControl w:val="0"/>
        <w:shd w:val="clear" w:color="auto" w:fill="auto"/>
        <w:bidi w:val="0"/>
        <w:spacing w:before="0" w:after="540" w:line="560" w:lineRule="exact"/>
        <w:ind w:left="0" w:right="0" w:firstLine="700"/>
        <w:jc w:val="both"/>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rPr>
        <w:t>第十</w:t>
      </w:r>
      <w:r>
        <w:rPr>
          <w:rFonts w:hint="eastAsia" w:ascii="仿宋_GB2312" w:hAnsi="仿宋_GB2312" w:eastAsia="仿宋_GB2312" w:cs="仿宋_GB2312"/>
          <w:b/>
          <w:bCs/>
          <w:color w:val="000000"/>
          <w:spacing w:val="0"/>
          <w:w w:val="100"/>
          <w:position w:val="0"/>
          <w:sz w:val="32"/>
          <w:szCs w:val="32"/>
          <w:lang w:eastAsia="zh-CN"/>
        </w:rPr>
        <w:t>五</w:t>
      </w:r>
      <w:r>
        <w:rPr>
          <w:rFonts w:hint="eastAsia" w:ascii="仿宋_GB2312" w:hAnsi="仿宋_GB2312" w:eastAsia="仿宋_GB2312" w:cs="仿宋_GB2312"/>
          <w:b/>
          <w:bCs/>
          <w:color w:val="000000"/>
          <w:spacing w:val="0"/>
          <w:w w:val="100"/>
          <w:position w:val="0"/>
          <w:sz w:val="32"/>
          <w:szCs w:val="32"/>
        </w:rPr>
        <w:t>条</w:t>
      </w:r>
      <w:r>
        <w:rPr>
          <w:rFonts w:hint="eastAsia" w:ascii="仿宋_GB2312" w:hAnsi="仿宋_GB2312" w:eastAsia="仿宋_GB2312" w:cs="仿宋_GB2312"/>
          <w:color w:val="000000"/>
          <w:spacing w:val="0"/>
          <w:w w:val="100"/>
          <w:position w:val="0"/>
          <w:sz w:val="32"/>
          <w:szCs w:val="32"/>
        </w:rPr>
        <w:t xml:space="preserve"> 企业应当按照国家财会税收制度的规定做好对外捐赠的相关财务处理工作。</w:t>
      </w:r>
    </w:p>
    <w:p>
      <w:pPr>
        <w:pStyle w:val="13"/>
        <w:keepNext w:val="0"/>
        <w:keepLines w:val="0"/>
        <w:widowControl w:val="0"/>
        <w:shd w:val="clear" w:color="auto" w:fill="auto"/>
        <w:bidi w:val="0"/>
        <w:spacing w:before="0" w:after="540" w:line="562" w:lineRule="exact"/>
        <w:ind w:left="0" w:right="0" w:firstLine="0"/>
        <w:jc w:val="center"/>
        <w:rPr>
          <w:rFonts w:hint="eastAsia" w:ascii="黑体" w:hAnsi="黑体" w:eastAsia="黑体" w:cs="黑体"/>
          <w:b/>
          <w:bCs/>
          <w:color w:val="000000"/>
          <w:spacing w:val="0"/>
          <w:w w:val="100"/>
          <w:position w:val="0"/>
          <w:sz w:val="32"/>
          <w:szCs w:val="32"/>
        </w:rPr>
      </w:pPr>
      <w:r>
        <w:rPr>
          <w:rFonts w:hint="eastAsia" w:ascii="黑体" w:hAnsi="黑体" w:eastAsia="黑体" w:cs="黑体"/>
          <w:b/>
          <w:bCs/>
          <w:color w:val="000000"/>
          <w:spacing w:val="0"/>
          <w:w w:val="100"/>
          <w:position w:val="0"/>
          <w:sz w:val="32"/>
          <w:szCs w:val="32"/>
        </w:rPr>
        <w:t>第五章</w:t>
      </w:r>
      <w:r>
        <w:rPr>
          <w:rFonts w:hint="eastAsia" w:ascii="黑体" w:hAnsi="黑体" w:eastAsia="黑体" w:cs="黑体"/>
          <w:b/>
          <w:bCs/>
          <w:color w:val="000000"/>
          <w:spacing w:val="0"/>
          <w:w w:val="100"/>
          <w:position w:val="0"/>
          <w:sz w:val="32"/>
          <w:szCs w:val="32"/>
          <w:lang w:val="en-US" w:eastAsia="zh-CN"/>
        </w:rPr>
        <w:t xml:space="preserve">  </w:t>
      </w:r>
      <w:r>
        <w:rPr>
          <w:rFonts w:hint="eastAsia" w:ascii="黑体" w:hAnsi="黑体" w:eastAsia="黑体" w:cs="黑体"/>
          <w:b/>
          <w:bCs/>
          <w:color w:val="000000"/>
          <w:spacing w:val="0"/>
          <w:w w:val="100"/>
          <w:position w:val="0"/>
          <w:sz w:val="32"/>
          <w:szCs w:val="32"/>
        </w:rPr>
        <w:t>对外捐赠的监督与检查</w:t>
      </w:r>
    </w:p>
    <w:p>
      <w:pPr>
        <w:pStyle w:val="13"/>
        <w:keepNext w:val="0"/>
        <w:keepLines w:val="0"/>
        <w:widowControl w:val="0"/>
        <w:shd w:val="clear" w:color="auto" w:fill="auto"/>
        <w:bidi w:val="0"/>
        <w:spacing w:before="0" w:after="0" w:line="561" w:lineRule="exact"/>
        <w:ind w:left="0" w:right="0" w:firstLine="700"/>
        <w:jc w:val="both"/>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rPr>
        <w:t>第十</w:t>
      </w:r>
      <w:r>
        <w:rPr>
          <w:rFonts w:hint="eastAsia" w:ascii="仿宋_GB2312" w:hAnsi="仿宋_GB2312" w:eastAsia="仿宋_GB2312" w:cs="仿宋_GB2312"/>
          <w:b/>
          <w:bCs/>
          <w:color w:val="000000"/>
          <w:spacing w:val="0"/>
          <w:w w:val="100"/>
          <w:position w:val="0"/>
          <w:sz w:val="32"/>
          <w:szCs w:val="32"/>
          <w:lang w:eastAsia="zh-CN"/>
        </w:rPr>
        <w:t>六</w:t>
      </w:r>
      <w:r>
        <w:rPr>
          <w:rFonts w:hint="eastAsia" w:ascii="仿宋_GB2312" w:hAnsi="仿宋_GB2312" w:eastAsia="仿宋_GB2312" w:cs="仿宋_GB2312"/>
          <w:b/>
          <w:bCs/>
          <w:color w:val="000000"/>
          <w:spacing w:val="0"/>
          <w:w w:val="100"/>
          <w:position w:val="0"/>
          <w:sz w:val="32"/>
          <w:szCs w:val="32"/>
        </w:rPr>
        <w:t>条</w:t>
      </w:r>
      <w:r>
        <w:rPr>
          <w:rFonts w:hint="eastAsia" w:ascii="仿宋_GB2312" w:hAnsi="仿宋_GB2312" w:eastAsia="仿宋_GB2312" w:cs="仿宋_GB2312"/>
          <w:color w:val="000000"/>
          <w:spacing w:val="0"/>
          <w:w w:val="100"/>
          <w:position w:val="0"/>
          <w:sz w:val="32"/>
          <w:szCs w:val="32"/>
          <w:lang w:eastAsia="zh-CN"/>
        </w:rPr>
        <w:t>　</w:t>
      </w:r>
      <w:r>
        <w:rPr>
          <w:rFonts w:hint="eastAsia" w:ascii="仿宋_GB2312" w:hAnsi="仿宋_GB2312" w:eastAsia="仿宋_GB2312" w:cs="仿宋_GB2312"/>
          <w:color w:val="000000"/>
          <w:spacing w:val="0"/>
          <w:w w:val="100"/>
          <w:position w:val="0"/>
          <w:sz w:val="32"/>
          <w:szCs w:val="32"/>
        </w:rPr>
        <w:t>企业应当利用纪检监察、内部审计等手段加强对集团本部及其所属企业对外捐赠的监督与检查，及时查找制度建设、工作组织、决策程序、预算管理、项目实施和财务处理等方面的问题，堵塞漏洞，认真整改。</w:t>
      </w:r>
    </w:p>
    <w:p>
      <w:pPr>
        <w:pStyle w:val="13"/>
        <w:keepNext w:val="0"/>
        <w:keepLines w:val="0"/>
        <w:widowControl w:val="0"/>
        <w:shd w:val="clear" w:color="auto" w:fill="auto"/>
        <w:bidi w:val="0"/>
        <w:spacing w:before="0" w:after="0" w:line="561" w:lineRule="exact"/>
        <w:ind w:left="0" w:right="0" w:firstLine="700"/>
        <w:jc w:val="both"/>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rPr>
        <w:t>第十</w:t>
      </w:r>
      <w:r>
        <w:rPr>
          <w:rFonts w:hint="eastAsia" w:ascii="仿宋_GB2312" w:hAnsi="仿宋_GB2312" w:eastAsia="仿宋_GB2312" w:cs="仿宋_GB2312"/>
          <w:b/>
          <w:bCs/>
          <w:color w:val="000000"/>
          <w:spacing w:val="0"/>
          <w:w w:val="100"/>
          <w:position w:val="0"/>
          <w:sz w:val="32"/>
          <w:szCs w:val="32"/>
          <w:lang w:eastAsia="zh-CN"/>
        </w:rPr>
        <w:t>七</w:t>
      </w:r>
      <w:r>
        <w:rPr>
          <w:rFonts w:hint="eastAsia" w:ascii="仿宋_GB2312" w:hAnsi="仿宋_GB2312" w:eastAsia="仿宋_GB2312" w:cs="仿宋_GB2312"/>
          <w:b/>
          <w:bCs/>
          <w:color w:val="000000"/>
          <w:spacing w:val="0"/>
          <w:w w:val="100"/>
          <w:position w:val="0"/>
          <w:sz w:val="32"/>
          <w:szCs w:val="32"/>
        </w:rPr>
        <w:t>条</w:t>
      </w:r>
      <w:r>
        <w:rPr>
          <w:rFonts w:hint="eastAsia" w:ascii="仿宋_GB2312" w:hAnsi="仿宋_GB2312" w:eastAsia="仿宋_GB2312" w:cs="仿宋_GB2312"/>
          <w:color w:val="000000"/>
          <w:spacing w:val="0"/>
          <w:w w:val="100"/>
          <w:position w:val="0"/>
          <w:sz w:val="32"/>
          <w:szCs w:val="32"/>
        </w:rPr>
        <w:t xml:space="preserve"> 企业应当重视对外捐赠项目实施效果的后续跟踪，有条件的企业应当组织对重大捐赠项目进行现场检查或审计，督促受赠人发挥捐赠的最大效益。</w:t>
      </w:r>
    </w:p>
    <w:p>
      <w:pPr>
        <w:pStyle w:val="13"/>
        <w:keepNext w:val="0"/>
        <w:keepLines w:val="0"/>
        <w:widowControl w:val="0"/>
        <w:shd w:val="clear" w:color="auto" w:fill="auto"/>
        <w:bidi w:val="0"/>
        <w:spacing w:before="0" w:after="0" w:line="561" w:lineRule="exact"/>
        <w:ind w:left="0" w:right="0" w:firstLine="700"/>
        <w:jc w:val="both"/>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rPr>
        <w:t>第十</w:t>
      </w:r>
      <w:r>
        <w:rPr>
          <w:rFonts w:hint="eastAsia" w:ascii="仿宋_GB2312" w:hAnsi="仿宋_GB2312" w:eastAsia="仿宋_GB2312" w:cs="仿宋_GB2312"/>
          <w:b/>
          <w:bCs/>
          <w:color w:val="000000"/>
          <w:spacing w:val="0"/>
          <w:w w:val="100"/>
          <w:position w:val="0"/>
          <w:sz w:val="32"/>
          <w:szCs w:val="32"/>
          <w:lang w:eastAsia="zh-CN"/>
        </w:rPr>
        <w:t>八</w:t>
      </w:r>
      <w:r>
        <w:rPr>
          <w:rFonts w:hint="eastAsia" w:ascii="仿宋_GB2312" w:hAnsi="仿宋_GB2312" w:eastAsia="仿宋_GB2312" w:cs="仿宋_GB2312"/>
          <w:b/>
          <w:bCs/>
          <w:color w:val="000000"/>
          <w:spacing w:val="0"/>
          <w:w w:val="100"/>
          <w:position w:val="0"/>
          <w:sz w:val="32"/>
          <w:szCs w:val="32"/>
        </w:rPr>
        <w:t>条</w:t>
      </w:r>
      <w:r>
        <w:rPr>
          <w:rFonts w:hint="eastAsia" w:ascii="仿宋_GB2312" w:hAnsi="仿宋_GB2312" w:eastAsia="仿宋_GB2312" w:cs="仿宋_GB2312"/>
          <w:b/>
          <w:bCs/>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企业应当按照新闻宣传纪律稳妥做好对外捐赠事宜的新闻发布。对违规实施对外捐赠或引发舆情风险的，依纪依法予以处理。</w:t>
      </w:r>
    </w:p>
    <w:p>
      <w:pPr>
        <w:pStyle w:val="13"/>
        <w:keepNext w:val="0"/>
        <w:keepLines w:val="0"/>
        <w:widowControl w:val="0"/>
        <w:shd w:val="clear" w:color="auto" w:fill="auto"/>
        <w:bidi w:val="0"/>
        <w:spacing w:before="0" w:after="540" w:line="561" w:lineRule="exact"/>
        <w:ind w:left="0" w:right="0" w:firstLine="700"/>
        <w:jc w:val="both"/>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rPr>
        <w:t>第十</w:t>
      </w:r>
      <w:r>
        <w:rPr>
          <w:rFonts w:hint="eastAsia" w:ascii="仿宋_GB2312" w:hAnsi="仿宋_GB2312" w:eastAsia="仿宋_GB2312" w:cs="仿宋_GB2312"/>
          <w:b/>
          <w:bCs/>
          <w:color w:val="000000"/>
          <w:spacing w:val="0"/>
          <w:w w:val="100"/>
          <w:position w:val="0"/>
          <w:sz w:val="32"/>
          <w:szCs w:val="32"/>
          <w:lang w:eastAsia="zh-CN"/>
        </w:rPr>
        <w:t>九</w:t>
      </w:r>
      <w:r>
        <w:rPr>
          <w:rFonts w:hint="eastAsia" w:ascii="仿宋_GB2312" w:hAnsi="仿宋_GB2312" w:eastAsia="仿宋_GB2312" w:cs="仿宋_GB2312"/>
          <w:b/>
          <w:bCs/>
          <w:color w:val="000000"/>
          <w:spacing w:val="0"/>
          <w:w w:val="100"/>
          <w:position w:val="0"/>
          <w:sz w:val="32"/>
          <w:szCs w:val="32"/>
        </w:rPr>
        <w:t>条</w:t>
      </w:r>
      <w:r>
        <w:rPr>
          <w:rFonts w:hint="eastAsia" w:ascii="仿宋_GB2312" w:hAnsi="仿宋_GB2312" w:eastAsia="仿宋_GB2312" w:cs="仿宋_GB2312"/>
          <w:b/>
          <w:bCs/>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lang w:eastAsia="zh-CN"/>
        </w:rPr>
        <w:t>区</w:t>
      </w:r>
      <w:r>
        <w:rPr>
          <w:rFonts w:hint="eastAsia" w:ascii="仿宋_GB2312" w:hAnsi="仿宋_GB2312" w:eastAsia="仿宋_GB2312" w:cs="仿宋_GB2312"/>
          <w:color w:val="000000"/>
          <w:spacing w:val="0"/>
          <w:w w:val="100"/>
          <w:position w:val="0"/>
          <w:sz w:val="32"/>
          <w:szCs w:val="32"/>
        </w:rPr>
        <w:t>国资委不定期组织抽查企业对外捐赠管理情况，对制度不健全、未按规定程序决策或未及时向</w:t>
      </w:r>
      <w:r>
        <w:rPr>
          <w:rFonts w:hint="eastAsia" w:ascii="仿宋_GB2312" w:hAnsi="仿宋_GB2312" w:eastAsia="仿宋_GB2312" w:cs="仿宋_GB2312"/>
          <w:color w:val="000000"/>
          <w:spacing w:val="0"/>
          <w:w w:val="100"/>
          <w:position w:val="0"/>
          <w:sz w:val="32"/>
          <w:szCs w:val="32"/>
          <w:lang w:eastAsia="zh-CN"/>
        </w:rPr>
        <w:t>区</w:t>
      </w:r>
      <w:r>
        <w:rPr>
          <w:rFonts w:hint="eastAsia" w:ascii="仿宋_GB2312" w:hAnsi="仿宋_GB2312" w:eastAsia="仿宋_GB2312" w:cs="仿宋_GB2312"/>
          <w:color w:val="000000"/>
          <w:spacing w:val="0"/>
          <w:w w:val="100"/>
          <w:position w:val="0"/>
          <w:sz w:val="32"/>
          <w:szCs w:val="32"/>
        </w:rPr>
        <w:t>国资委报告等不规范行为，依照有关规定对企业给予通报批评；对情节严重以及未及时整改或整改不到位的，对直接负责的主管人员和其他责任人员依法给予纪律处分并进行责任追究。在对外捐赠过程中存在营私舞弊、滥用职权、转移国有资产等违法违规行为的，依法予以处理。</w:t>
      </w:r>
    </w:p>
    <w:p>
      <w:pPr>
        <w:pStyle w:val="13"/>
        <w:keepNext w:val="0"/>
        <w:keepLines w:val="0"/>
        <w:widowControl w:val="0"/>
        <w:shd w:val="clear" w:color="auto" w:fill="auto"/>
        <w:bidi w:val="0"/>
        <w:spacing w:before="0" w:after="540" w:line="562" w:lineRule="exact"/>
        <w:ind w:left="0" w:right="0" w:firstLine="0"/>
        <w:jc w:val="center"/>
        <w:rPr>
          <w:rFonts w:hint="eastAsia" w:ascii="黑体" w:hAnsi="黑体" w:eastAsia="黑体" w:cs="黑体"/>
          <w:b/>
          <w:bCs/>
          <w:color w:val="000000"/>
          <w:spacing w:val="0"/>
          <w:w w:val="100"/>
          <w:position w:val="0"/>
          <w:sz w:val="32"/>
          <w:szCs w:val="32"/>
        </w:rPr>
      </w:pPr>
      <w:r>
        <w:rPr>
          <w:rFonts w:hint="eastAsia" w:ascii="黑体" w:hAnsi="黑体" w:eastAsia="黑体" w:cs="黑体"/>
          <w:b/>
          <w:bCs/>
          <w:color w:val="000000"/>
          <w:spacing w:val="0"/>
          <w:w w:val="100"/>
          <w:position w:val="0"/>
          <w:sz w:val="32"/>
          <w:szCs w:val="32"/>
        </w:rPr>
        <w:t>第六章</w:t>
      </w:r>
      <w:r>
        <w:rPr>
          <w:rFonts w:hint="eastAsia" w:ascii="黑体" w:hAnsi="黑体" w:eastAsia="黑体" w:cs="黑体"/>
          <w:b/>
          <w:bCs/>
          <w:color w:val="000000"/>
          <w:spacing w:val="0"/>
          <w:w w:val="100"/>
          <w:position w:val="0"/>
          <w:sz w:val="32"/>
          <w:szCs w:val="32"/>
          <w:lang w:val="en-US" w:eastAsia="zh-CN"/>
        </w:rPr>
        <w:t xml:space="preserve">  </w:t>
      </w:r>
      <w:r>
        <w:rPr>
          <w:rFonts w:hint="eastAsia" w:ascii="黑体" w:hAnsi="黑体" w:eastAsia="黑体" w:cs="黑体"/>
          <w:b/>
          <w:bCs/>
          <w:color w:val="000000"/>
          <w:spacing w:val="0"/>
          <w:w w:val="100"/>
          <w:position w:val="0"/>
          <w:sz w:val="32"/>
          <w:szCs w:val="32"/>
        </w:rPr>
        <w:t>附则</w:t>
      </w:r>
    </w:p>
    <w:p>
      <w:pPr>
        <w:pStyle w:val="13"/>
        <w:keepNext w:val="0"/>
        <w:keepLines w:val="0"/>
        <w:widowControl w:val="0"/>
        <w:numPr>
          <w:ilvl w:val="0"/>
          <w:numId w:val="0"/>
        </w:numPr>
        <w:shd w:val="clear" w:color="auto" w:fill="auto"/>
        <w:bidi w:val="0"/>
        <w:spacing w:before="0" w:after="0" w:line="560" w:lineRule="exact"/>
        <w:ind w:right="0" w:rightChars="0" w:firstLine="643" w:firstLineChars="200"/>
        <w:jc w:val="both"/>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rPr>
        <w:t>第二十条</w:t>
      </w:r>
      <w:r>
        <w:rPr>
          <w:rFonts w:hint="eastAsia" w:ascii="仿宋_GB2312" w:hAnsi="仿宋_GB2312" w:eastAsia="仿宋_GB2312" w:cs="仿宋_GB2312"/>
          <w:b/>
          <w:bCs/>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各企业应当结合本通知要求，</w:t>
      </w:r>
      <w:r>
        <w:rPr>
          <w:rFonts w:hint="eastAsia" w:ascii="仿宋_GB2312" w:hAnsi="仿宋_GB2312" w:eastAsia="仿宋_GB2312" w:cs="仿宋_GB2312"/>
          <w:color w:val="000000"/>
          <w:spacing w:val="0"/>
          <w:w w:val="100"/>
          <w:position w:val="0"/>
          <w:sz w:val="32"/>
          <w:szCs w:val="32"/>
          <w:lang w:eastAsia="zh-CN"/>
        </w:rPr>
        <w:t>制定</w:t>
      </w:r>
      <w:r>
        <w:rPr>
          <w:rFonts w:hint="eastAsia" w:ascii="仿宋_GB2312" w:hAnsi="仿宋_GB2312" w:eastAsia="仿宋_GB2312" w:cs="仿宋_GB2312"/>
          <w:color w:val="000000"/>
          <w:spacing w:val="0"/>
          <w:w w:val="100"/>
          <w:position w:val="0"/>
          <w:sz w:val="32"/>
          <w:szCs w:val="32"/>
        </w:rPr>
        <w:t>本企业对外捐赠管理制度，并上报</w:t>
      </w:r>
      <w:r>
        <w:rPr>
          <w:rFonts w:hint="eastAsia" w:ascii="仿宋_GB2312" w:hAnsi="仿宋_GB2312" w:eastAsia="仿宋_GB2312" w:cs="仿宋_GB2312"/>
          <w:color w:val="000000"/>
          <w:spacing w:val="0"/>
          <w:w w:val="100"/>
          <w:position w:val="0"/>
          <w:sz w:val="32"/>
          <w:szCs w:val="32"/>
          <w:lang w:eastAsia="zh-CN"/>
        </w:rPr>
        <w:t>区</w:t>
      </w:r>
      <w:r>
        <w:rPr>
          <w:rFonts w:hint="eastAsia" w:ascii="仿宋_GB2312" w:hAnsi="仿宋_GB2312" w:eastAsia="仿宋_GB2312" w:cs="仿宋_GB2312"/>
          <w:color w:val="000000"/>
          <w:spacing w:val="0"/>
          <w:w w:val="100"/>
          <w:position w:val="0"/>
          <w:sz w:val="32"/>
          <w:szCs w:val="32"/>
        </w:rPr>
        <w:t>国资委。</w:t>
      </w:r>
    </w:p>
    <w:p>
      <w:pPr>
        <w:pStyle w:val="13"/>
        <w:keepNext w:val="0"/>
        <w:keepLines w:val="0"/>
        <w:widowControl w:val="0"/>
        <w:shd w:val="clear" w:color="auto" w:fill="auto"/>
        <w:bidi w:val="0"/>
        <w:spacing w:before="0" w:after="560" w:line="560" w:lineRule="exact"/>
        <w:ind w:left="0" w:right="0" w:firstLine="640"/>
        <w:jc w:val="both"/>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b/>
          <w:bCs/>
          <w:color w:val="000000"/>
          <w:spacing w:val="0"/>
          <w:w w:val="100"/>
          <w:position w:val="0"/>
          <w:sz w:val="32"/>
          <w:szCs w:val="32"/>
        </w:rPr>
        <w:t>第二十</w:t>
      </w:r>
      <w:r>
        <w:rPr>
          <w:rFonts w:hint="eastAsia" w:ascii="仿宋_GB2312" w:hAnsi="仿宋_GB2312" w:eastAsia="仿宋_GB2312" w:cs="仿宋_GB2312"/>
          <w:b/>
          <w:bCs/>
          <w:color w:val="000000"/>
          <w:spacing w:val="0"/>
          <w:w w:val="100"/>
          <w:position w:val="0"/>
          <w:sz w:val="32"/>
          <w:szCs w:val="32"/>
          <w:lang w:eastAsia="zh-CN"/>
        </w:rPr>
        <w:t>一</w:t>
      </w:r>
      <w:r>
        <w:rPr>
          <w:rFonts w:hint="eastAsia" w:ascii="仿宋_GB2312" w:hAnsi="仿宋_GB2312" w:eastAsia="仿宋_GB2312" w:cs="仿宋_GB2312"/>
          <w:b/>
          <w:bCs/>
          <w:color w:val="000000"/>
          <w:spacing w:val="0"/>
          <w:w w:val="100"/>
          <w:position w:val="0"/>
          <w:sz w:val="32"/>
          <w:szCs w:val="32"/>
        </w:rPr>
        <w:t>条</w:t>
      </w:r>
      <w:r>
        <w:rPr>
          <w:rFonts w:hint="eastAsia" w:ascii="仿宋_GB2312" w:hAnsi="仿宋_GB2312" w:eastAsia="仿宋_GB2312" w:cs="仿宋_GB2312"/>
          <w:b/>
          <w:bCs/>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本办法自2021年</w:t>
      </w:r>
      <w:r>
        <w:rPr>
          <w:rFonts w:hint="eastAsia" w:ascii="仿宋_GB2312" w:hAnsi="仿宋_GB2312" w:eastAsia="仿宋_GB2312" w:cs="仿宋_GB2312"/>
          <w:color w:val="000000"/>
          <w:spacing w:val="0"/>
          <w:w w:val="100"/>
          <w:position w:val="0"/>
          <w:sz w:val="32"/>
          <w:szCs w:val="32"/>
          <w:lang w:val="en-US" w:eastAsia="zh-CN"/>
        </w:rPr>
        <w:t>9</w:t>
      </w:r>
      <w:r>
        <w:rPr>
          <w:rFonts w:hint="eastAsia" w:ascii="仿宋_GB2312" w:hAnsi="仿宋_GB2312" w:eastAsia="仿宋_GB2312" w:cs="仿宋_GB2312"/>
          <w:color w:val="000000"/>
          <w:spacing w:val="0"/>
          <w:w w:val="100"/>
          <w:position w:val="0"/>
          <w:sz w:val="32"/>
          <w:szCs w:val="32"/>
        </w:rPr>
        <w:t>月</w:t>
      </w:r>
      <w:r>
        <w:rPr>
          <w:rFonts w:hint="eastAsia" w:ascii="仿宋_GB2312" w:hAnsi="仿宋_GB2312" w:eastAsia="仿宋_GB2312" w:cs="仿宋_GB2312"/>
          <w:color w:val="000000"/>
          <w:spacing w:val="0"/>
          <w:w w:val="100"/>
          <w:position w:val="0"/>
          <w:sz w:val="32"/>
          <w:szCs w:val="32"/>
          <w:lang w:val="en-US" w:eastAsia="zh-CN"/>
        </w:rPr>
        <w:t>1</w:t>
      </w:r>
      <w:r>
        <w:rPr>
          <w:rFonts w:hint="eastAsia" w:ascii="仿宋_GB2312" w:hAnsi="仿宋_GB2312" w:eastAsia="仿宋_GB2312" w:cs="仿宋_GB2312"/>
          <w:color w:val="000000"/>
          <w:spacing w:val="0"/>
          <w:w w:val="100"/>
          <w:position w:val="0"/>
          <w:sz w:val="32"/>
          <w:szCs w:val="32"/>
        </w:rPr>
        <w:t>日起施行</w:t>
      </w:r>
      <w:bookmarkStart w:id="46" w:name="bookmark23"/>
      <w:bookmarkEnd w:id="46"/>
      <w:bookmarkStart w:id="47" w:name="bookmark22"/>
      <w:bookmarkEnd w:id="47"/>
      <w:bookmarkStart w:id="48" w:name="bookmark25"/>
      <w:bookmarkEnd w:id="48"/>
      <w:bookmarkStart w:id="49" w:name="bookmark24"/>
      <w:bookmarkEnd w:id="49"/>
      <w:bookmarkStart w:id="50" w:name="bookmark26"/>
      <w:bookmarkEnd w:id="50"/>
      <w:r>
        <w:rPr>
          <w:rFonts w:hint="eastAsia" w:ascii="仿宋_GB2312" w:hAnsi="仿宋_GB2312" w:eastAsia="仿宋_GB2312" w:cs="仿宋_GB2312"/>
          <w:color w:val="000000"/>
          <w:spacing w:val="0"/>
          <w:w w:val="100"/>
          <w:position w:val="0"/>
          <w:sz w:val="32"/>
          <w:szCs w:val="32"/>
          <w:lang w:eastAsia="zh-CN"/>
        </w:rPr>
        <w:t>。</w:t>
      </w:r>
    </w:p>
    <w:p>
      <w:pPr>
        <w:pStyle w:val="13"/>
        <w:keepNext w:val="0"/>
        <w:keepLines w:val="0"/>
        <w:widowControl w:val="0"/>
        <w:shd w:val="clear" w:color="auto" w:fill="auto"/>
        <w:bidi w:val="0"/>
        <w:spacing w:before="0" w:after="560" w:line="560" w:lineRule="exact"/>
        <w:ind w:left="0" w:right="0" w:firstLine="640"/>
        <w:jc w:val="both"/>
        <w:rPr>
          <w:rFonts w:hint="eastAsia" w:ascii="仿宋_GB2312" w:hAnsi="仿宋_GB2312" w:eastAsia="仿宋_GB2312" w:cs="仿宋_GB2312"/>
          <w:color w:val="000000"/>
          <w:spacing w:val="0"/>
          <w:w w:val="100"/>
          <w:position w:val="0"/>
          <w:sz w:val="32"/>
          <w:szCs w:val="32"/>
          <w:lang w:eastAsia="zh-CN"/>
        </w:rPr>
        <w:sectPr>
          <w:footerReference r:id="rId7" w:type="default"/>
          <w:footerReference r:id="rId8" w:type="even"/>
          <w:footnotePr>
            <w:numFmt w:val="decimal"/>
          </w:footnotePr>
          <w:pgSz w:w="11900" w:h="16840"/>
          <w:pgMar w:top="2597" w:right="1586" w:bottom="2621" w:left="1586" w:header="1158" w:footer="1158" w:gutter="0"/>
          <w:cols w:space="720" w:num="1"/>
          <w:rtlGutter w:val="0"/>
          <w:docGrid w:linePitch="360" w:charSpace="0"/>
        </w:sectPr>
      </w:pPr>
    </w:p>
    <w:bookmarkEnd w:id="0"/>
    <w:bookmarkEnd w:id="1"/>
    <w:bookmarkEnd w:id="2"/>
    <w:p>
      <w:pPr>
        <w:spacing w:line="560" w:lineRule="exact"/>
        <w:rPr>
          <w:rFonts w:eastAsia="仿宋_GB2312"/>
          <w:snapToGrid w:val="0"/>
          <w:kern w:val="0"/>
          <w:sz w:val="32"/>
          <w:szCs w:val="32"/>
        </w:rPr>
      </w:pPr>
    </w:p>
    <w:p>
      <w:pPr>
        <w:spacing w:line="560" w:lineRule="exact"/>
        <w:rPr>
          <w:rFonts w:eastAsia="仿宋_GB2312"/>
          <w:snapToGrid w:val="0"/>
          <w:kern w:val="0"/>
          <w:sz w:val="32"/>
          <w:szCs w:val="32"/>
        </w:rPr>
      </w:pPr>
    </w:p>
    <w:p>
      <w:pPr>
        <w:spacing w:line="560" w:lineRule="exact"/>
        <w:rPr>
          <w:rFonts w:eastAsia="仿宋_GB2312"/>
          <w:snapToGrid w:val="0"/>
          <w:kern w:val="0"/>
          <w:sz w:val="32"/>
          <w:szCs w:val="32"/>
        </w:rPr>
      </w:pPr>
    </w:p>
    <w:p>
      <w:pPr>
        <w:spacing w:line="560" w:lineRule="exact"/>
        <w:rPr>
          <w:rFonts w:eastAsia="仿宋_GB2312"/>
          <w:snapToGrid w:val="0"/>
          <w:kern w:val="0"/>
          <w:sz w:val="32"/>
          <w:szCs w:val="32"/>
        </w:rPr>
      </w:pPr>
    </w:p>
    <w:p>
      <w:pPr>
        <w:spacing w:line="560" w:lineRule="exact"/>
        <w:rPr>
          <w:rFonts w:eastAsia="仿宋_GB2312"/>
          <w:snapToGrid w:val="0"/>
          <w:kern w:val="0"/>
          <w:sz w:val="32"/>
          <w:szCs w:val="32"/>
        </w:rPr>
      </w:pPr>
    </w:p>
    <w:p>
      <w:pPr>
        <w:spacing w:line="560" w:lineRule="exact"/>
        <w:rPr>
          <w:rFonts w:eastAsia="仿宋_GB2312"/>
          <w:snapToGrid w:val="0"/>
          <w:kern w:val="0"/>
          <w:sz w:val="32"/>
          <w:szCs w:val="32"/>
        </w:rPr>
      </w:pPr>
    </w:p>
    <w:p>
      <w:pPr>
        <w:spacing w:line="560" w:lineRule="exact"/>
        <w:rPr>
          <w:rFonts w:eastAsia="仿宋_GB2312"/>
          <w:snapToGrid w:val="0"/>
          <w:kern w:val="0"/>
          <w:sz w:val="32"/>
          <w:szCs w:val="32"/>
        </w:rPr>
      </w:pPr>
    </w:p>
    <w:p>
      <w:pPr>
        <w:spacing w:line="560" w:lineRule="exact"/>
        <w:rPr>
          <w:rFonts w:eastAsia="仿宋_GB2312"/>
          <w:snapToGrid w:val="0"/>
          <w:kern w:val="0"/>
          <w:sz w:val="32"/>
          <w:szCs w:val="32"/>
        </w:rPr>
      </w:pPr>
    </w:p>
    <w:p>
      <w:pPr>
        <w:spacing w:line="560" w:lineRule="exact"/>
        <w:rPr>
          <w:rFonts w:eastAsia="仿宋_GB2312"/>
          <w:snapToGrid w:val="0"/>
          <w:kern w:val="0"/>
          <w:sz w:val="32"/>
          <w:szCs w:val="32"/>
        </w:rPr>
      </w:pPr>
    </w:p>
    <w:p>
      <w:pPr>
        <w:spacing w:line="560" w:lineRule="exact"/>
        <w:rPr>
          <w:rFonts w:eastAsia="仿宋_GB2312"/>
          <w:snapToGrid w:val="0"/>
          <w:kern w:val="0"/>
          <w:sz w:val="32"/>
          <w:szCs w:val="32"/>
        </w:rPr>
      </w:pPr>
    </w:p>
    <w:p>
      <w:pPr>
        <w:spacing w:line="560" w:lineRule="exact"/>
        <w:rPr>
          <w:rFonts w:eastAsia="仿宋_GB2312"/>
          <w:snapToGrid w:val="0"/>
          <w:kern w:val="0"/>
          <w:sz w:val="32"/>
          <w:szCs w:val="32"/>
        </w:rPr>
      </w:pPr>
    </w:p>
    <w:p>
      <w:pPr>
        <w:spacing w:line="560" w:lineRule="exact"/>
        <w:rPr>
          <w:rFonts w:eastAsia="仿宋_GB2312"/>
          <w:snapToGrid w:val="0"/>
          <w:kern w:val="0"/>
          <w:sz w:val="32"/>
          <w:szCs w:val="32"/>
        </w:rPr>
      </w:pPr>
    </w:p>
    <w:p>
      <w:pPr>
        <w:spacing w:line="560" w:lineRule="exact"/>
        <w:rPr>
          <w:rFonts w:eastAsia="仿宋_GB2312"/>
          <w:snapToGrid w:val="0"/>
          <w:kern w:val="0"/>
          <w:sz w:val="32"/>
          <w:szCs w:val="32"/>
        </w:rPr>
      </w:pPr>
    </w:p>
    <w:p>
      <w:pPr>
        <w:spacing w:line="560" w:lineRule="exact"/>
        <w:rPr>
          <w:rFonts w:eastAsia="仿宋_GB2312"/>
          <w:snapToGrid w:val="0"/>
          <w:kern w:val="0"/>
          <w:sz w:val="32"/>
          <w:szCs w:val="32"/>
        </w:rPr>
      </w:pPr>
    </w:p>
    <w:p>
      <w:pPr>
        <w:spacing w:line="560" w:lineRule="exact"/>
        <w:rPr>
          <w:rFonts w:eastAsia="仿宋_GB2312"/>
          <w:snapToGrid w:val="0"/>
          <w:kern w:val="0"/>
          <w:sz w:val="32"/>
          <w:szCs w:val="32"/>
        </w:rPr>
      </w:pPr>
    </w:p>
    <w:p>
      <w:pPr>
        <w:spacing w:line="560" w:lineRule="exact"/>
        <w:rPr>
          <w:rFonts w:eastAsia="仿宋_GB2312"/>
          <w:snapToGrid w:val="0"/>
          <w:kern w:val="0"/>
          <w:sz w:val="32"/>
          <w:szCs w:val="32"/>
        </w:rPr>
      </w:pPr>
    </w:p>
    <w:p>
      <w:pPr>
        <w:spacing w:line="560" w:lineRule="exact"/>
        <w:rPr>
          <w:rFonts w:eastAsia="仿宋_GB2312"/>
          <w:snapToGrid w:val="0"/>
          <w:kern w:val="0"/>
          <w:sz w:val="32"/>
          <w:szCs w:val="32"/>
        </w:rPr>
      </w:pPr>
    </w:p>
    <w:p>
      <w:pPr>
        <w:spacing w:line="560" w:lineRule="exact"/>
        <w:rPr>
          <w:rFonts w:eastAsia="仿宋_GB2312"/>
          <w:snapToGrid w:val="0"/>
          <w:kern w:val="0"/>
          <w:sz w:val="32"/>
          <w:szCs w:val="32"/>
        </w:rPr>
      </w:pPr>
    </w:p>
    <w:p>
      <w:pPr>
        <w:spacing w:line="560" w:lineRule="exact"/>
        <w:rPr>
          <w:rFonts w:eastAsia="仿宋_GB2312"/>
          <w:snapToGrid w:val="0"/>
          <w:kern w:val="0"/>
          <w:sz w:val="32"/>
          <w:szCs w:val="32"/>
        </w:rPr>
      </w:pPr>
    </w:p>
    <w:p>
      <w:pPr>
        <w:spacing w:line="560" w:lineRule="exact"/>
        <w:rPr>
          <w:rFonts w:eastAsia="仿宋_GB2312"/>
          <w:snapToGrid w:val="0"/>
          <w:kern w:val="0"/>
          <w:sz w:val="32"/>
          <w:szCs w:val="32"/>
        </w:rPr>
      </w:pPr>
    </w:p>
    <w:p>
      <w:pPr>
        <w:spacing w:line="560" w:lineRule="exact"/>
        <w:rPr>
          <w:rFonts w:eastAsia="仿宋_GB2312"/>
          <w:snapToGrid w:val="0"/>
          <w:kern w:val="0"/>
          <w:sz w:val="32"/>
          <w:szCs w:val="32"/>
        </w:rPr>
      </w:pPr>
    </w:p>
    <w:p>
      <w:pPr>
        <w:spacing w:line="560" w:lineRule="exact"/>
        <w:rPr>
          <w:rFonts w:ascii="仿宋_GB2312" w:hAnsi="仿宋" w:eastAsia="仿宋_GB2312"/>
          <w:w w:val="95"/>
          <w:sz w:val="32"/>
          <w:szCs w:val="32"/>
        </w:rPr>
      </w:pPr>
      <w:r>
        <w:rPr>
          <w:rFonts w:eastAsia="仿宋_GB2312"/>
          <w:snapToGrid w:val="0"/>
          <w:kern w:val="0"/>
          <w:sz w:val="32"/>
          <w:szCs w:val="32"/>
        </w:rPr>
        <mc:AlternateContent>
          <mc:Choice Requires="wps">
            <w:drawing>
              <wp:anchor distT="0" distB="0" distL="114300" distR="114300" simplePos="0" relativeHeight="251660288" behindDoc="0" locked="0" layoutInCell="0" allowOverlap="1">
                <wp:simplePos x="0" y="0"/>
                <wp:positionH relativeFrom="column">
                  <wp:posOffset>31750</wp:posOffset>
                </wp:positionH>
                <wp:positionV relativeFrom="paragraph">
                  <wp:posOffset>33655</wp:posOffset>
                </wp:positionV>
                <wp:extent cx="5615940" cy="0"/>
                <wp:effectExtent l="0" t="9525" r="3810" b="9525"/>
                <wp:wrapNone/>
                <wp:docPr id="6" name="直接连接符 6"/>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pt;margin-top:2.65pt;height:0pt;width:442.2pt;z-index:251660288;mso-width-relative:page;mso-height-relative:page;" filled="f" stroked="t" coordsize="21600,21600" o:allowincell="f" o:gfxdata="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eIij3TAAAABQEAAA8AAAAAAAAAAQAgAAAAIgAAAGRycy9kb3ducmV2LnhtbFBLAQIUABQA&#10;AAAIAIdO4kBcKPJY9QEAAOUDAAAOAAAAAAAAAAEAIAAAACIBAABkcnMvZTJvRG9jLnhtbFBLBQYA&#10;AAAABgAGAFkBAACJBQAAAAA=&#10;">
                <v:fill on="f" focussize="0,0"/>
                <v:stroke weight="1.5pt" color="#000000" joinstyle="round"/>
                <v:imagedata o:title=""/>
                <o:lock v:ext="edit" aspectratio="f"/>
              </v:line>
            </w:pict>
          </mc:Fallback>
        </mc:AlternateContent>
      </w:r>
      <w:r>
        <w:rPr>
          <w:rFonts w:eastAsia="仿宋_GB2312"/>
          <w:snapToGrid w:val="0"/>
          <w:kern w:val="0"/>
          <w:sz w:val="32"/>
          <w:szCs w:val="32"/>
        </w:rPr>
        <w:t xml:space="preserve"> </w:t>
      </w:r>
      <w:r>
        <w:rPr>
          <w:rFonts w:hint="eastAsia" w:eastAsia="仿宋_GB2312"/>
          <w:snapToGrid w:val="0"/>
          <w:kern w:val="0"/>
          <w:sz w:val="32"/>
          <w:szCs w:val="32"/>
        </w:rPr>
        <w:t xml:space="preserve"> </w:t>
      </w:r>
      <w:bookmarkStart w:id="51" w:name="_GoBack"/>
      <w:bookmarkEnd w:id="51"/>
      <w:r>
        <w:rPr>
          <w:rFonts w:hint="eastAsia" w:eastAsia="仿宋_GB2312"/>
          <w:snapToGrid w:val="0"/>
          <w:w w:val="95"/>
          <w:kern w:val="0"/>
          <w:sz w:val="32"/>
          <w:szCs w:val="32"/>
        </w:rPr>
        <w:t>蓟州区国有资产监督管理委员会办公室</w:t>
      </w:r>
      <w:r>
        <w:rPr>
          <w:rFonts w:eastAsia="仿宋_GB2312"/>
          <w:snapToGrid w:val="0"/>
          <w:w w:val="95"/>
          <w:kern w:val="0"/>
          <w:sz w:val="32"/>
          <w:szCs w:val="32"/>
        </w:rPr>
        <w:t xml:space="preserve"> </w:t>
      </w:r>
      <w:r>
        <w:rPr>
          <w:rFonts w:hint="eastAsia" w:eastAsia="仿宋_GB2312"/>
          <w:snapToGrid w:val="0"/>
          <w:w w:val="95"/>
          <w:kern w:val="0"/>
          <w:sz w:val="32"/>
          <w:szCs w:val="32"/>
        </w:rPr>
        <w:t xml:space="preserve"> </w:t>
      </w:r>
      <w:r>
        <w:rPr>
          <w:rFonts w:eastAsia="仿宋_GB2312"/>
          <w:snapToGrid w:val="0"/>
          <w:w w:val="95"/>
          <w:kern w:val="0"/>
          <w:sz w:val="32"/>
          <w:szCs w:val="32"/>
        </w:rPr>
        <w:t>202</w:t>
      </w:r>
      <w:r>
        <w:rPr>
          <w:rFonts w:hint="eastAsia" w:eastAsia="仿宋_GB2312"/>
          <w:snapToGrid w:val="0"/>
          <w:w w:val="95"/>
          <w:kern w:val="0"/>
          <w:sz w:val="32"/>
          <w:szCs w:val="32"/>
        </w:rPr>
        <w:t>1年</w:t>
      </w:r>
      <w:r>
        <w:rPr>
          <w:rFonts w:hint="eastAsia" w:eastAsia="仿宋_GB2312"/>
          <w:snapToGrid w:val="0"/>
          <w:w w:val="95"/>
          <w:kern w:val="0"/>
          <w:sz w:val="32"/>
          <w:szCs w:val="32"/>
          <w:lang w:val="en-US" w:eastAsia="zh-CN"/>
        </w:rPr>
        <w:t>8</w:t>
      </w:r>
      <w:r>
        <w:rPr>
          <w:rFonts w:hint="eastAsia" w:eastAsia="仿宋_GB2312"/>
          <w:snapToGrid w:val="0"/>
          <w:w w:val="95"/>
          <w:kern w:val="0"/>
          <w:sz w:val="32"/>
          <w:szCs w:val="32"/>
        </w:rPr>
        <w:t>月</w:t>
      </w:r>
      <w:r>
        <w:rPr>
          <w:rFonts w:hint="eastAsia" w:eastAsia="仿宋_GB2312"/>
          <w:snapToGrid w:val="0"/>
          <w:w w:val="95"/>
          <w:kern w:val="0"/>
          <w:sz w:val="32"/>
          <w:szCs w:val="32"/>
          <w:lang w:val="en-US" w:eastAsia="zh-CN"/>
        </w:rPr>
        <w:t>31</w:t>
      </w:r>
      <w:r>
        <w:rPr>
          <w:rFonts w:hint="eastAsia" w:eastAsia="仿宋_GB2312"/>
          <w:snapToGrid w:val="0"/>
          <w:w w:val="95"/>
          <w:kern w:val="0"/>
          <w:sz w:val="32"/>
          <w:szCs w:val="32"/>
        </w:rPr>
        <w:t>日印发</w:t>
      </w:r>
      <w:r>
        <w:rPr>
          <w:rFonts w:hint="eastAsia" w:ascii="仿宋_GB2312" w:hAnsi="仿宋" w:eastAsia="仿宋_GB2312"/>
          <w:w w:val="95"/>
          <w:sz w:val="32"/>
          <w:szCs w:val="32"/>
        </w:rPr>
        <w:t>　</w:t>
      </w:r>
    </w:p>
    <w:p>
      <w:pPr>
        <w:ind w:right="-1" w:rightChars="-1" w:firstLine="303" w:firstLineChars="100"/>
        <w:rPr>
          <w:rFonts w:hint="eastAsia" w:eastAsia="仿宋_GB2312"/>
          <w:sz w:val="28"/>
          <w:szCs w:val="28"/>
          <w:lang w:eastAsia="zh-CN"/>
        </w:rPr>
      </w:pPr>
      <w:r>
        <w:rPr>
          <w:rFonts w:eastAsia="仿宋_GB2312"/>
          <w:snapToGrid w:val="0"/>
          <w:kern w:val="0"/>
          <w:sz w:val="32"/>
          <w:szCs w:val="32"/>
        </w:rPr>
        <mc:AlternateContent>
          <mc:Choice Requires="wps">
            <w:drawing>
              <wp:anchor distT="0" distB="0" distL="114300" distR="114300" simplePos="0" relativeHeight="251659264" behindDoc="0" locked="0" layoutInCell="0" allowOverlap="1">
                <wp:simplePos x="0" y="0"/>
                <wp:positionH relativeFrom="column">
                  <wp:posOffset>52070</wp:posOffset>
                </wp:positionH>
                <wp:positionV relativeFrom="paragraph">
                  <wp:posOffset>13335</wp:posOffset>
                </wp:positionV>
                <wp:extent cx="5615940" cy="0"/>
                <wp:effectExtent l="0" t="9525" r="3810" b="9525"/>
                <wp:wrapNone/>
                <wp:docPr id="5" name="直接连接符 5"/>
                <wp:cNvGraphicFramePr/>
                <a:graphic xmlns:a="http://schemas.openxmlformats.org/drawingml/2006/main">
                  <a:graphicData uri="http://schemas.microsoft.com/office/word/2010/wordprocessingShape">
                    <wps:wsp>
                      <wps:cNvSpPr/>
                      <wps:spPr>
                        <a:xfrm>
                          <a:off x="0" y="0"/>
                          <a:ext cx="561594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1pt;margin-top:1.05pt;height:0pt;width:442.2pt;z-index:251659264;mso-width-relative:page;mso-height-relative:page;" filled="f" stroked="t" coordsize="21600,21600" o:allowincell="f" o:gfxdata="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b2TZnRAAAABQEAAA8AAAAAAAAAAQAgAAAAIgAAAGRycy9kb3ducmV2LnhtbFBLAQIUABQAAAAI&#10;AIdO4kDzux7W9AEAAOUDAAAOAAAAAAAAAAEAIAAAACABAABkcnMvZTJvRG9jLnhtbFBLBQYAAAAA&#10;BgAGAFkBAACGBQAAAAA=&#10;">
                <v:fill on="f" focussize="0,0"/>
                <v:stroke weight="1.5pt" color="#000000" joinstyle="round"/>
                <v:imagedata o:title=""/>
                <o:lock v:ext="edit" aspectratio="f"/>
              </v:line>
            </w:pict>
          </mc:Fallback>
        </mc:AlternateContent>
      </w:r>
    </w:p>
    <w:sectPr>
      <w:footerReference r:id="rId9" w:type="default"/>
      <w:footerReference r:id="rId10" w:type="even"/>
      <w:pgSz w:w="11906" w:h="16838"/>
      <w:pgMar w:top="1701" w:right="1418" w:bottom="1985" w:left="1474" w:header="851" w:footer="1077" w:gutter="0"/>
      <w:pgNumType w:fmt="numberInDash" w:start="1"/>
      <w:cols w:space="720" w:num="1"/>
      <w:docGrid w:type="linesAndChars" w:linePitch="579" w:charSpace="-36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40" w:firstLineChars="100"/>
      <w:rPr>
        <w:rFonts w:ascii="宋体"/>
        <w:sz w:val="24"/>
        <w:szCs w:val="24"/>
      </w:rP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sz w:val="24"/>
        <w:szCs w:val="24"/>
        <w:lang w:val="zh-CN"/>
      </w:rPr>
      <w:t>-</w:t>
    </w:r>
    <w:r>
      <w:rPr>
        <w:rFonts w:ascii="宋体" w:hAnsi="宋体"/>
        <w:sz w:val="24"/>
        <w:szCs w:val="24"/>
      </w:rPr>
      <w:t xml:space="preserve"> 2 -</w:t>
    </w:r>
    <w:r>
      <w:rPr>
        <w:rFonts w:ascii="宋体" w:hAnsi="宋体"/>
        <w:sz w:val="24"/>
        <w:szCs w:val="24"/>
      </w:rPr>
      <w:fldChar w:fldCharType="end"/>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7A2611"/>
    <w:rsid w:val="00005318"/>
    <w:rsid w:val="0001194E"/>
    <w:rsid w:val="000402E6"/>
    <w:rsid w:val="0007590B"/>
    <w:rsid w:val="000975B0"/>
    <w:rsid w:val="000B5261"/>
    <w:rsid w:val="000C0DEA"/>
    <w:rsid w:val="000D15E4"/>
    <w:rsid w:val="000E7C22"/>
    <w:rsid w:val="000F3825"/>
    <w:rsid w:val="00111240"/>
    <w:rsid w:val="00112AEB"/>
    <w:rsid w:val="00112F16"/>
    <w:rsid w:val="0011633C"/>
    <w:rsid w:val="001362A1"/>
    <w:rsid w:val="0015662A"/>
    <w:rsid w:val="00161859"/>
    <w:rsid w:val="001649DD"/>
    <w:rsid w:val="001E098E"/>
    <w:rsid w:val="001F34A2"/>
    <w:rsid w:val="002312DD"/>
    <w:rsid w:val="00241D5C"/>
    <w:rsid w:val="00244BA2"/>
    <w:rsid w:val="00264EF5"/>
    <w:rsid w:val="00276479"/>
    <w:rsid w:val="002872BC"/>
    <w:rsid w:val="00290A89"/>
    <w:rsid w:val="002A66FF"/>
    <w:rsid w:val="002E4F59"/>
    <w:rsid w:val="002F0243"/>
    <w:rsid w:val="002F5E0E"/>
    <w:rsid w:val="002F64EE"/>
    <w:rsid w:val="00300F31"/>
    <w:rsid w:val="0033452D"/>
    <w:rsid w:val="0033500F"/>
    <w:rsid w:val="003453D9"/>
    <w:rsid w:val="00375C7A"/>
    <w:rsid w:val="00391369"/>
    <w:rsid w:val="003958F7"/>
    <w:rsid w:val="00416AFC"/>
    <w:rsid w:val="0045169B"/>
    <w:rsid w:val="00453386"/>
    <w:rsid w:val="004533FD"/>
    <w:rsid w:val="00472A54"/>
    <w:rsid w:val="004E2898"/>
    <w:rsid w:val="005204D5"/>
    <w:rsid w:val="00575C44"/>
    <w:rsid w:val="00584234"/>
    <w:rsid w:val="005C1AD2"/>
    <w:rsid w:val="005C4420"/>
    <w:rsid w:val="005D5C03"/>
    <w:rsid w:val="005E34B4"/>
    <w:rsid w:val="005E47DA"/>
    <w:rsid w:val="005F1A72"/>
    <w:rsid w:val="00601C7E"/>
    <w:rsid w:val="0061187C"/>
    <w:rsid w:val="00615714"/>
    <w:rsid w:val="00675209"/>
    <w:rsid w:val="006A0F51"/>
    <w:rsid w:val="006C5AB2"/>
    <w:rsid w:val="006E4EAF"/>
    <w:rsid w:val="00716244"/>
    <w:rsid w:val="00730DAD"/>
    <w:rsid w:val="00730FB0"/>
    <w:rsid w:val="00756B98"/>
    <w:rsid w:val="007601EE"/>
    <w:rsid w:val="0077111F"/>
    <w:rsid w:val="00772DFD"/>
    <w:rsid w:val="007B4F15"/>
    <w:rsid w:val="007C78C6"/>
    <w:rsid w:val="007F1844"/>
    <w:rsid w:val="007F1C90"/>
    <w:rsid w:val="00820495"/>
    <w:rsid w:val="00865100"/>
    <w:rsid w:val="00872C86"/>
    <w:rsid w:val="00874152"/>
    <w:rsid w:val="008A7017"/>
    <w:rsid w:val="008E265F"/>
    <w:rsid w:val="00916EC0"/>
    <w:rsid w:val="00925E7B"/>
    <w:rsid w:val="00926B5F"/>
    <w:rsid w:val="0098790A"/>
    <w:rsid w:val="009921B3"/>
    <w:rsid w:val="009F2F7A"/>
    <w:rsid w:val="00A276DD"/>
    <w:rsid w:val="00A30AB6"/>
    <w:rsid w:val="00A56317"/>
    <w:rsid w:val="00A739F5"/>
    <w:rsid w:val="00AF1BE9"/>
    <w:rsid w:val="00B200E4"/>
    <w:rsid w:val="00B27B89"/>
    <w:rsid w:val="00B30E31"/>
    <w:rsid w:val="00B37271"/>
    <w:rsid w:val="00B5439C"/>
    <w:rsid w:val="00B66A3A"/>
    <w:rsid w:val="00B9220F"/>
    <w:rsid w:val="00BA514E"/>
    <w:rsid w:val="00BB6C26"/>
    <w:rsid w:val="00BD7AE8"/>
    <w:rsid w:val="00BF0ADF"/>
    <w:rsid w:val="00C0064F"/>
    <w:rsid w:val="00C03CE6"/>
    <w:rsid w:val="00C27050"/>
    <w:rsid w:val="00C4457A"/>
    <w:rsid w:val="00C54336"/>
    <w:rsid w:val="00C55C80"/>
    <w:rsid w:val="00C71AC5"/>
    <w:rsid w:val="00C71AEF"/>
    <w:rsid w:val="00C771C3"/>
    <w:rsid w:val="00CA5999"/>
    <w:rsid w:val="00D13630"/>
    <w:rsid w:val="00D23ECD"/>
    <w:rsid w:val="00D3075E"/>
    <w:rsid w:val="00D617E1"/>
    <w:rsid w:val="00D62DF9"/>
    <w:rsid w:val="00D662BF"/>
    <w:rsid w:val="00D82327"/>
    <w:rsid w:val="00DA6114"/>
    <w:rsid w:val="00DB64A6"/>
    <w:rsid w:val="00DD3BE9"/>
    <w:rsid w:val="00DE73C3"/>
    <w:rsid w:val="00E704B4"/>
    <w:rsid w:val="00EA2371"/>
    <w:rsid w:val="00EC7C05"/>
    <w:rsid w:val="00ED07D8"/>
    <w:rsid w:val="00EE166A"/>
    <w:rsid w:val="00F01AA0"/>
    <w:rsid w:val="00F870E7"/>
    <w:rsid w:val="00FA3CA3"/>
    <w:rsid w:val="00FE00A3"/>
    <w:rsid w:val="09BD3A9D"/>
    <w:rsid w:val="11DB5D2C"/>
    <w:rsid w:val="1304015D"/>
    <w:rsid w:val="17903822"/>
    <w:rsid w:val="20D8175F"/>
    <w:rsid w:val="24616314"/>
    <w:rsid w:val="24D708E2"/>
    <w:rsid w:val="2B3A7281"/>
    <w:rsid w:val="2D285836"/>
    <w:rsid w:val="32D46709"/>
    <w:rsid w:val="39AB3E4C"/>
    <w:rsid w:val="3F8A4F72"/>
    <w:rsid w:val="4294021E"/>
    <w:rsid w:val="58156724"/>
    <w:rsid w:val="58412F82"/>
    <w:rsid w:val="5AB76DE3"/>
    <w:rsid w:val="5DCD54E1"/>
    <w:rsid w:val="657A2611"/>
    <w:rsid w:val="6CC25912"/>
    <w:rsid w:val="75C93DC4"/>
    <w:rsid w:val="7A30233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iPriority="99" w:name="header" w:locked="1"/>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qFormat/>
    <w:uiPriority w:val="99"/>
    <w:pPr>
      <w:ind w:left="100" w:leftChars="2500"/>
    </w:pPr>
  </w:style>
  <w:style w:type="paragraph" w:styleId="3">
    <w:name w:val="Balloon Text"/>
    <w:basedOn w:val="1"/>
    <w:link w:val="9"/>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semiHidden/>
    <w:unhideWhenUsed/>
    <w:lock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Date Char"/>
    <w:basedOn w:val="7"/>
    <w:link w:val="2"/>
    <w:semiHidden/>
    <w:qFormat/>
    <w:locked/>
    <w:uiPriority w:val="99"/>
    <w:rPr>
      <w:rFonts w:cs="Times New Roman"/>
      <w:sz w:val="24"/>
      <w:szCs w:val="24"/>
    </w:rPr>
  </w:style>
  <w:style w:type="character" w:customStyle="1" w:styleId="9">
    <w:name w:val="Balloon Text Char"/>
    <w:basedOn w:val="7"/>
    <w:link w:val="3"/>
    <w:qFormat/>
    <w:locked/>
    <w:uiPriority w:val="99"/>
    <w:rPr>
      <w:rFonts w:cs="Times New Roman"/>
      <w:kern w:val="2"/>
      <w:sz w:val="18"/>
      <w:szCs w:val="18"/>
    </w:rPr>
  </w:style>
  <w:style w:type="character" w:customStyle="1" w:styleId="10">
    <w:name w:val="Footer Char"/>
    <w:basedOn w:val="7"/>
    <w:link w:val="4"/>
    <w:semiHidden/>
    <w:qFormat/>
    <w:locked/>
    <w:uiPriority w:val="99"/>
    <w:rPr>
      <w:rFonts w:cs="Times New Roman"/>
      <w:sz w:val="18"/>
      <w:szCs w:val="18"/>
    </w:rPr>
  </w:style>
  <w:style w:type="paragraph" w:styleId="11">
    <w:name w:val="List Paragraph"/>
    <w:basedOn w:val="1"/>
    <w:qFormat/>
    <w:uiPriority w:val="99"/>
    <w:pPr>
      <w:ind w:firstLine="420" w:firstLineChars="200"/>
    </w:pPr>
  </w:style>
  <w:style w:type="paragraph" w:customStyle="1" w:styleId="12">
    <w:name w:val="Heading #3|1"/>
    <w:basedOn w:val="1"/>
    <w:qFormat/>
    <w:uiPriority w:val="0"/>
    <w:pPr>
      <w:widowControl w:val="0"/>
      <w:shd w:val="clear" w:color="auto" w:fill="auto"/>
      <w:spacing w:after="500"/>
      <w:jc w:val="center"/>
      <w:outlineLvl w:val="2"/>
    </w:pPr>
    <w:rPr>
      <w:rFonts w:ascii="宋体" w:hAnsi="宋体" w:eastAsia="宋体" w:cs="宋体"/>
      <w:sz w:val="42"/>
      <w:szCs w:val="42"/>
      <w:u w:val="none"/>
      <w:shd w:val="clear" w:color="auto" w:fill="auto"/>
      <w:lang w:val="zh-TW" w:eastAsia="zh-TW" w:bidi="zh-TW"/>
    </w:rPr>
  </w:style>
  <w:style w:type="paragraph" w:customStyle="1" w:styleId="13">
    <w:name w:val="Body text|1"/>
    <w:basedOn w:val="1"/>
    <w:qFormat/>
    <w:uiPriority w:val="0"/>
    <w:pPr>
      <w:widowControl w:val="0"/>
      <w:shd w:val="clear" w:color="auto" w:fill="auto"/>
      <w:spacing w:line="394" w:lineRule="auto"/>
      <w:ind w:firstLine="400"/>
    </w:pPr>
    <w:rPr>
      <w:rFonts w:ascii="宋体" w:hAnsi="宋体" w:eastAsia="宋体" w:cs="宋体"/>
      <w:sz w:val="30"/>
      <w:szCs w:val="30"/>
      <w:u w:val="none"/>
      <w:shd w:val="clear" w:color="auto" w:fill="auto"/>
      <w:lang w:val="zh-TW" w:eastAsia="zh-TW" w:bidi="zh-TW"/>
    </w:rPr>
  </w:style>
  <w:style w:type="paragraph" w:customStyle="1" w:styleId="14">
    <w:name w:val="Table caption|1"/>
    <w:basedOn w:val="1"/>
    <w:qFormat/>
    <w:uiPriority w:val="0"/>
    <w:pPr>
      <w:widowControl w:val="0"/>
      <w:shd w:val="clear" w:color="auto" w:fill="auto"/>
      <w:spacing w:after="80"/>
      <w:ind w:firstLine="200"/>
    </w:pPr>
    <w:rPr>
      <w:rFonts w:ascii="宋体" w:hAnsi="宋体" w:eastAsia="宋体" w:cs="宋体"/>
      <w:sz w:val="19"/>
      <w:szCs w:val="19"/>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Pages>
  <Words>77</Words>
  <Characters>442</Characters>
  <Lines>0</Lines>
  <Paragraphs>0</Paragraphs>
  <TotalTime>9</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2020-07-27T02:54:00Z</dcterms:created>
  <dc:creator>ugg代购</dc:creator>
  <cp:lastModifiedBy>scj</cp:lastModifiedBy>
  <cp:lastPrinted>2021-08-31T08:25:49Z</cp:lastPrinted>
  <dcterms:modified xsi:type="dcterms:W3CDTF">2021-08-31T08:27:38Z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0D2EAD742C2A4B0E960F0781F712B14B</vt:lpwstr>
  </property>
</Properties>
</file>