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A75F1D">
      <w:pPr>
        <w:autoSpaceDE w:val="0"/>
        <w:autoSpaceDN w:val="0"/>
        <w:adjustRightInd w:val="0"/>
        <w:jc w:val="center"/>
        <w:rPr>
          <w:rFonts w:ascii="Times New Roman" w:eastAsia="方正小标宋简体" w:hAnsi="Times New Roman" w:cs="方正小标宋简体"/>
          <w:kern w:val="0"/>
          <w:sz w:val="48"/>
          <w:szCs w:val="48"/>
          <w:lang w:val="zh-CN"/>
        </w:rPr>
      </w:pPr>
    </w:p>
    <w:p w:rsidR="00A75F1D" w:rsidRDefault="009B695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75F1D" w:rsidRDefault="00A75F1D">
      <w:pPr>
        <w:autoSpaceDE w:val="0"/>
        <w:autoSpaceDN w:val="0"/>
        <w:adjustRightInd w:val="0"/>
        <w:spacing w:line="580" w:lineRule="exact"/>
        <w:jc w:val="center"/>
        <w:rPr>
          <w:rFonts w:ascii="Times New Roman" w:eastAsia="黑体" w:hAnsi="Times New Roman" w:cs="黑体"/>
          <w:sz w:val="30"/>
          <w:szCs w:val="30"/>
        </w:rPr>
      </w:pPr>
    </w:p>
    <w:p w:rsidR="00A75F1D" w:rsidRDefault="00A75F1D">
      <w:pPr>
        <w:autoSpaceDE w:val="0"/>
        <w:autoSpaceDN w:val="0"/>
        <w:adjustRightInd w:val="0"/>
        <w:spacing w:line="580" w:lineRule="exact"/>
        <w:jc w:val="center"/>
        <w:rPr>
          <w:rFonts w:ascii="Times New Roman" w:eastAsia="黑体" w:hAnsi="Times New Roman" w:cs="黑体"/>
          <w:sz w:val="30"/>
          <w:szCs w:val="30"/>
        </w:rPr>
      </w:pPr>
    </w:p>
    <w:p w:rsidR="00A75F1D" w:rsidRDefault="00A75F1D">
      <w:pPr>
        <w:autoSpaceDE w:val="0"/>
        <w:autoSpaceDN w:val="0"/>
        <w:adjustRightInd w:val="0"/>
        <w:spacing w:line="580" w:lineRule="exact"/>
        <w:jc w:val="center"/>
        <w:rPr>
          <w:rFonts w:ascii="Times New Roman" w:eastAsia="黑体" w:hAnsi="Times New Roman" w:cs="黑体"/>
          <w:sz w:val="30"/>
          <w:szCs w:val="30"/>
        </w:rPr>
      </w:pPr>
    </w:p>
    <w:p w:rsidR="00A75F1D" w:rsidRDefault="00A75F1D">
      <w:pPr>
        <w:autoSpaceDE w:val="0"/>
        <w:autoSpaceDN w:val="0"/>
        <w:adjustRightInd w:val="0"/>
        <w:spacing w:line="580" w:lineRule="exact"/>
        <w:jc w:val="center"/>
        <w:rPr>
          <w:rFonts w:ascii="Times New Roman" w:eastAsia="黑体" w:hAnsi="Times New Roman" w:cs="黑体"/>
          <w:sz w:val="30"/>
          <w:szCs w:val="30"/>
        </w:rPr>
      </w:pPr>
    </w:p>
    <w:p w:rsidR="00A75F1D" w:rsidRDefault="00A75F1D">
      <w:pPr>
        <w:autoSpaceDE w:val="0"/>
        <w:autoSpaceDN w:val="0"/>
        <w:adjustRightInd w:val="0"/>
        <w:spacing w:line="580" w:lineRule="exact"/>
        <w:jc w:val="center"/>
        <w:rPr>
          <w:rFonts w:ascii="Times New Roman" w:eastAsia="黑体" w:hAnsi="Times New Roman" w:cs="黑体"/>
          <w:sz w:val="30"/>
          <w:szCs w:val="30"/>
        </w:rPr>
      </w:pPr>
    </w:p>
    <w:p w:rsidR="00A75F1D" w:rsidRDefault="009B695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75F1D" w:rsidRDefault="009B695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A75F1D" w:rsidRDefault="00A75F1D">
      <w:pPr>
        <w:autoSpaceDE w:val="0"/>
        <w:autoSpaceDN w:val="0"/>
        <w:adjustRightInd w:val="0"/>
        <w:spacing w:line="600" w:lineRule="exact"/>
        <w:jc w:val="left"/>
        <w:rPr>
          <w:rFonts w:ascii="Times New Roman" w:eastAsia="黑体" w:hAnsi="Times New Roman" w:cs="黑体"/>
          <w:kern w:val="0"/>
          <w:sz w:val="30"/>
          <w:szCs w:val="30"/>
        </w:rPr>
      </w:pPr>
    </w:p>
    <w:p w:rsidR="00A75F1D" w:rsidRDefault="009B69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75F1D" w:rsidRDefault="009B69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75F1D" w:rsidRDefault="009B69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75F1D" w:rsidRDefault="009B695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75F1D" w:rsidRDefault="009B695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A75F1D" w:rsidRDefault="009B695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75F1D" w:rsidRDefault="009B695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A75F1D" w:rsidRDefault="009B695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75F1D" w:rsidRDefault="009B69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天津市蓟州中学主要是实施高中学历教育，促进基础教育发展。</w:t>
      </w:r>
    </w:p>
    <w:p w:rsidR="00A75F1D" w:rsidRDefault="009B695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75F1D" w:rsidRDefault="009B69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天津市蓟州中学内设</w:t>
      </w:r>
      <w:r>
        <w:rPr>
          <w:rFonts w:ascii="Times New Roman" w:eastAsia="仿宋_GB2312" w:hAnsi="Times New Roman" w:cs="仿宋_GB2312" w:hint="eastAsia"/>
          <w:sz w:val="30"/>
          <w:szCs w:val="30"/>
        </w:rPr>
        <w:t>22</w:t>
      </w:r>
      <w:r>
        <w:rPr>
          <w:rFonts w:ascii="Times New Roman" w:eastAsia="仿宋_GB2312" w:hAnsi="Times New Roman" w:cs="仿宋_GB2312" w:hint="eastAsia"/>
          <w:sz w:val="30"/>
          <w:szCs w:val="30"/>
        </w:rPr>
        <w:t>个政教处、教务处、总务处、德体美</w:t>
      </w:r>
      <w:proofErr w:type="gramStart"/>
      <w:r>
        <w:rPr>
          <w:rFonts w:ascii="Times New Roman" w:eastAsia="仿宋_GB2312" w:hAnsi="Times New Roman" w:cs="仿宋_GB2312" w:hint="eastAsia"/>
          <w:sz w:val="30"/>
          <w:szCs w:val="30"/>
        </w:rPr>
        <w:t>劳</w:t>
      </w:r>
      <w:proofErr w:type="gramEnd"/>
      <w:r>
        <w:rPr>
          <w:rFonts w:ascii="Times New Roman" w:eastAsia="仿宋_GB2312" w:hAnsi="Times New Roman" w:cs="仿宋_GB2312" w:hint="eastAsia"/>
          <w:sz w:val="30"/>
          <w:szCs w:val="30"/>
        </w:rPr>
        <w:t>处，高一工作室、高二工作室、高三工作室等；下辖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75F1D" w:rsidRDefault="0005555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w:t>
      </w:r>
    </w:p>
    <w:p w:rsidR="00A75F1D" w:rsidRDefault="009B695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75F1D" w:rsidRDefault="009B695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75F1D" w:rsidRDefault="00A75F1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75F1D" w:rsidRDefault="009B695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75F1D" w:rsidRDefault="009B695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75F1D" w:rsidRDefault="009B695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A75F1D" w:rsidRDefault="00A75F1D">
      <w:pPr>
        <w:autoSpaceDE w:val="0"/>
        <w:autoSpaceDN w:val="0"/>
        <w:adjustRightInd w:val="0"/>
        <w:spacing w:line="600" w:lineRule="exact"/>
        <w:ind w:firstLine="601"/>
        <w:jc w:val="left"/>
        <w:rPr>
          <w:rFonts w:ascii="Times New Roman" w:eastAsia="仿宋_GB2312" w:hAnsi="Times New Roman" w:cs="仿宋_GB2312"/>
          <w:sz w:val="30"/>
          <w:szCs w:val="30"/>
        </w:rPr>
      </w:pPr>
    </w:p>
    <w:p w:rsidR="00A75F1D" w:rsidRDefault="009B695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75F1D" w:rsidRDefault="00A75F1D">
      <w:pPr>
        <w:autoSpaceDE w:val="0"/>
        <w:autoSpaceDN w:val="0"/>
        <w:adjustRightInd w:val="0"/>
        <w:spacing w:line="580" w:lineRule="exact"/>
        <w:ind w:firstLine="600"/>
        <w:jc w:val="left"/>
        <w:rPr>
          <w:rFonts w:ascii="Times New Roman" w:eastAsia="黑体" w:hAnsi="Times New Roman" w:cs="黑体"/>
          <w:sz w:val="30"/>
          <w:szCs w:val="30"/>
          <w:lang w:val="zh-CN"/>
        </w:rPr>
      </w:pP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75F1D" w:rsidRDefault="009B69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40,900,565.74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1,750,020.17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：公用经费减少</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75F1D" w:rsidRDefault="009B69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40,900,565.74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1,750,020.17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36,843,228.87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90.08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2,164,100.00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5.29%</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1,893,236.87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4.63%</w:t>
      </w:r>
      <w:r>
        <w:rPr>
          <w:rFonts w:ascii="Times New Roman" w:eastAsia="仿宋_GB2312" w:hAnsi="Times New Roman" w:cs="仿宋_GB2312" w:hint="eastAsia"/>
          <w:sz w:val="30"/>
          <w:szCs w:val="30"/>
          <w:lang w:val="zh-CN"/>
        </w:rPr>
        <w:t>。</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75F1D" w:rsidRDefault="009B695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40,900,565.74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1,750,020.17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40,900,565.74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75F1D" w:rsidRDefault="009B695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36,843,228.87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3,121,410.88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7.81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公用经费减少</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75F1D" w:rsidRDefault="009B695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75F1D" w:rsidRDefault="009B69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36,843,228.87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90.08%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3,121,410.88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7.81%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：公用经费减少，新分配教师增多</w:t>
      </w:r>
    </w:p>
    <w:p w:rsidR="00A75F1D" w:rsidRDefault="009B695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75F1D" w:rsidRDefault="009B695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36,843,228.87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教育支出（款）年初预算数为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0,875,949.</w:t>
      </w:r>
      <w:r>
        <w:rPr>
          <w:rFonts w:ascii="Times New Roman" w:eastAsia="仿宋_GB2312" w:hAnsi="Times New Roman" w:cs="仿宋_GB2312" w:hint="eastAsia"/>
          <w:sz w:val="30"/>
          <w:szCs w:val="30"/>
        </w:rPr>
        <w:t xml:space="preserve">49 </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4,933,286.</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88.38%</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高中教育（项）年初预算为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0,875,949.</w:t>
      </w:r>
      <w:r>
        <w:rPr>
          <w:rFonts w:ascii="Times New Roman" w:eastAsia="仿宋_GB2312" w:hAnsi="Times New Roman" w:cs="仿宋_GB2312" w:hint="eastAsia"/>
          <w:sz w:val="30"/>
          <w:szCs w:val="30"/>
        </w:rPr>
        <w:t>49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4,933,286.</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88.38%</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sz w:val="30"/>
          <w:szCs w:val="30"/>
          <w:lang w:val="en"/>
        </w:rPr>
        <w:t>3,752,</w:t>
      </w:r>
      <w:r>
        <w:rPr>
          <w:rFonts w:ascii="Times New Roman" w:eastAsia="仿宋_GB2312" w:hAnsi="Times New Roman" w:cs="仿宋_GB2312"/>
          <w:sz w:val="30"/>
          <w:szCs w:val="30"/>
          <w:lang w:val="en"/>
        </w:rPr>
        <w:t>252.</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4,222,472.</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112.53%</w:t>
      </w:r>
      <w:r>
        <w:rPr>
          <w:rFonts w:ascii="Times New Roman" w:eastAsia="仿宋_GB2312" w:hAnsi="Times New Roman" w:cs="仿宋_GB2312" w:hint="eastAsia"/>
          <w:sz w:val="30"/>
          <w:szCs w:val="30"/>
        </w:rPr>
        <w:t>，决算数大于年初预算数的主要原因是增加死亡抚恤金。其中：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sz w:val="30"/>
          <w:szCs w:val="30"/>
          <w:lang w:val="en"/>
        </w:rPr>
        <w:t>2,429,598.</w:t>
      </w:r>
      <w:r>
        <w:rPr>
          <w:rFonts w:ascii="Times New Roman" w:eastAsia="仿宋_GB2312" w:hAnsi="Times New Roman" w:cs="仿宋_GB2312" w:hint="eastAsia"/>
          <w:sz w:val="30"/>
          <w:szCs w:val="30"/>
        </w:rPr>
        <w:t>08</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2,927,845.</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120.5%</w:t>
      </w:r>
      <w:r>
        <w:rPr>
          <w:rFonts w:ascii="Times New Roman" w:eastAsia="仿宋_GB2312" w:hAnsi="Times New Roman" w:cs="仿宋_GB2312" w:hint="eastAsia"/>
          <w:sz w:val="30"/>
          <w:szCs w:val="30"/>
        </w:rPr>
        <w:t>，决算数大于年初预算数的主要原因是新分配教师较多。</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sz w:val="30"/>
          <w:szCs w:val="30"/>
          <w:lang w:val="en"/>
        </w:rPr>
        <w:t>1,214,799.</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1,294,627.</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106.57%</w:t>
      </w:r>
      <w:r>
        <w:rPr>
          <w:rFonts w:ascii="Times New Roman" w:eastAsia="仿宋_GB2312" w:hAnsi="Times New Roman" w:cs="仿宋_GB2312" w:hint="eastAsia"/>
          <w:sz w:val="30"/>
          <w:szCs w:val="30"/>
        </w:rPr>
        <w:t>，决算数大于年初预算数的主要原因是新分配教</w:t>
      </w:r>
      <w:r>
        <w:rPr>
          <w:rFonts w:ascii="Times New Roman" w:eastAsia="仿宋_GB2312" w:hAnsi="Times New Roman" w:cs="仿宋_GB2312" w:hint="eastAsia"/>
          <w:sz w:val="30"/>
          <w:szCs w:val="30"/>
        </w:rPr>
        <w:t>师较多。</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、抚恤（款）死亡抚恤（项）年初预算为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w:t>
      </w:r>
      <w:r>
        <w:rPr>
          <w:rFonts w:ascii="Times New Roman" w:eastAsia="仿宋_GB2312" w:hAnsi="Times New Roman" w:cs="仿宋_GB2312"/>
          <w:sz w:val="30"/>
          <w:szCs w:val="30"/>
          <w:lang w:val="en"/>
        </w:rPr>
        <w:t>7,855.</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元，决算数大于年初预算数的主要原因是增加死亡抚恤金。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sz w:val="30"/>
          <w:szCs w:val="30"/>
          <w:lang w:val="en"/>
        </w:rPr>
        <w:t>1,533,759.</w:t>
      </w:r>
      <w:r>
        <w:rPr>
          <w:rFonts w:ascii="Times New Roman" w:eastAsia="仿宋_GB2312" w:hAnsi="Times New Roman" w:cs="仿宋_GB2312" w:hint="eastAsia"/>
          <w:sz w:val="30"/>
          <w:szCs w:val="30"/>
        </w:rPr>
        <w:t>29</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1,294,627.</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85.19%</w:t>
      </w:r>
      <w:r>
        <w:rPr>
          <w:rFonts w:ascii="Times New Roman" w:eastAsia="仿宋_GB2312" w:hAnsi="Times New Roman" w:cs="仿宋_GB2312" w:hint="eastAsia"/>
          <w:sz w:val="30"/>
          <w:szCs w:val="30"/>
        </w:rPr>
        <w:t>，决算数小于年初预算数的主要原因是退休人员较多。其中：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sz w:val="30"/>
          <w:szCs w:val="30"/>
          <w:lang w:val="en"/>
        </w:rPr>
        <w:t>1,533,759.</w:t>
      </w:r>
      <w:r>
        <w:rPr>
          <w:rFonts w:ascii="Times New Roman" w:eastAsia="仿宋_GB2312" w:hAnsi="Times New Roman" w:cs="仿宋_GB2312" w:hint="eastAsia"/>
          <w:sz w:val="30"/>
          <w:szCs w:val="30"/>
        </w:rPr>
        <w:t>29</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1,744,807.</w:t>
      </w:r>
      <w:r>
        <w:rPr>
          <w:rFonts w:ascii="Times New Roman" w:eastAsia="仿宋_GB2312" w:hAnsi="Times New Roman" w:cs="仿宋_GB2312" w:hint="eastAsia"/>
          <w:sz w:val="30"/>
          <w:szCs w:val="30"/>
        </w:rPr>
        <w:t>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113.76%</w:t>
      </w:r>
      <w:r>
        <w:rPr>
          <w:rFonts w:ascii="Times New Roman" w:eastAsia="仿宋_GB2312" w:hAnsi="Times New Roman" w:cs="仿宋_GB2312" w:hint="eastAsia"/>
          <w:sz w:val="30"/>
          <w:szCs w:val="30"/>
        </w:rPr>
        <w:t>，决算数大于年初预算数</w:t>
      </w:r>
      <w:r>
        <w:rPr>
          <w:rFonts w:ascii="Times New Roman" w:eastAsia="仿宋_GB2312" w:hAnsi="Times New Roman" w:cs="仿宋_GB2312" w:hint="eastAsia"/>
          <w:sz w:val="30"/>
          <w:szCs w:val="30"/>
        </w:rPr>
        <w:lastRenderedPageBreak/>
        <w:t>的主要原因是在职人员增加缴费增加。</w:t>
      </w:r>
    </w:p>
    <w:p w:rsidR="00A75F1D" w:rsidRDefault="009B695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75F1D" w:rsidRDefault="009B69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32,878,412.04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36,843,228.87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112.06%</w:t>
      </w:r>
      <w:r>
        <w:rPr>
          <w:rFonts w:ascii="Times New Roman" w:eastAsia="仿宋_GB2312" w:hAnsi="Times New Roman" w:cs="仿宋_GB2312" w:hint="eastAsia"/>
          <w:kern w:val="0"/>
          <w:sz w:val="30"/>
          <w:szCs w:val="30"/>
        </w:rPr>
        <w:t>。其中：</w:t>
      </w:r>
    </w:p>
    <w:p w:rsidR="00A75F1D" w:rsidRDefault="009B695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2,878,412.</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6,843,228.</w:t>
      </w:r>
      <w:r>
        <w:rPr>
          <w:rFonts w:ascii="Times New Roman" w:eastAsia="仿宋_GB2312" w:hAnsi="Times New Roman" w:cs="仿宋_GB2312" w:hint="eastAsia"/>
          <w:sz w:val="30"/>
          <w:szCs w:val="30"/>
        </w:rPr>
        <w:t>87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112.06%</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1.</w:t>
      </w:r>
      <w:r>
        <w:rPr>
          <w:rFonts w:ascii="Times New Roman" w:eastAsia="仿宋_GB2312" w:hAnsi="Times New Roman" w:cs="仿宋_GB2312" w:hint="eastAsia"/>
          <w:sz w:val="30"/>
          <w:szCs w:val="30"/>
        </w:rPr>
        <w:t>教育支出（款）年初预算数为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0,875,949.</w:t>
      </w:r>
      <w:r>
        <w:rPr>
          <w:rFonts w:ascii="Times New Roman" w:eastAsia="仿宋_GB2312" w:hAnsi="Times New Roman" w:cs="仿宋_GB2312" w:hint="eastAsia"/>
          <w:sz w:val="30"/>
          <w:szCs w:val="30"/>
        </w:rPr>
        <w:t xml:space="preserve">49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4,933,286.</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88.38%</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高中教育（项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0,875,949.</w:t>
      </w:r>
      <w:r>
        <w:rPr>
          <w:rFonts w:ascii="Times New Roman" w:eastAsia="仿宋_GB2312" w:hAnsi="Times New Roman" w:cs="仿宋_GB2312" w:hint="eastAsia"/>
          <w:sz w:val="30"/>
          <w:szCs w:val="30"/>
        </w:rPr>
        <w:t>49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Pr>
          <w:rFonts w:ascii="Times New Roman" w:eastAsia="仿宋_GB2312" w:hAnsi="Times New Roman" w:cs="仿宋_GB2312"/>
          <w:sz w:val="30"/>
          <w:szCs w:val="30"/>
          <w:lang w:val="en"/>
        </w:rPr>
        <w:t>4,933,286.</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88.38%</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sz w:val="30"/>
          <w:szCs w:val="30"/>
          <w:lang w:val="en"/>
        </w:rPr>
        <w:t>3,752,252.</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4,222,472.</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112.53%</w:t>
      </w:r>
      <w:r>
        <w:rPr>
          <w:rFonts w:ascii="Times New Roman" w:eastAsia="仿宋_GB2312" w:hAnsi="Times New Roman" w:cs="仿宋_GB2312" w:hint="eastAsia"/>
          <w:sz w:val="30"/>
          <w:szCs w:val="30"/>
        </w:rPr>
        <w:t>，决算数大于年初预算数的主要原因是增加死亡抚恤金。其中：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sz w:val="30"/>
          <w:szCs w:val="30"/>
          <w:lang w:val="en"/>
        </w:rPr>
        <w:t>2,429,598.</w:t>
      </w:r>
      <w:r>
        <w:rPr>
          <w:rFonts w:ascii="Times New Roman" w:eastAsia="仿宋_GB2312" w:hAnsi="Times New Roman" w:cs="仿宋_GB2312" w:hint="eastAsia"/>
          <w:sz w:val="30"/>
          <w:szCs w:val="30"/>
        </w:rPr>
        <w:t>08</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2,927,845.</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120.5%</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大于年初预算数的主要原因是新分配教师较多。</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sz w:val="30"/>
          <w:szCs w:val="30"/>
          <w:lang w:val="en"/>
        </w:rPr>
        <w:t>1,214,799.</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1,294,627.</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106.57%</w:t>
      </w:r>
      <w:r>
        <w:rPr>
          <w:rFonts w:ascii="Times New Roman" w:eastAsia="仿宋_GB2312" w:hAnsi="Times New Roman" w:cs="仿宋_GB2312" w:hint="eastAsia"/>
          <w:sz w:val="30"/>
          <w:szCs w:val="30"/>
        </w:rPr>
        <w:t>，决算数大于</w:t>
      </w:r>
      <w:r>
        <w:rPr>
          <w:rFonts w:ascii="Times New Roman" w:eastAsia="仿宋_GB2312" w:hAnsi="Times New Roman" w:cs="仿宋_GB2312" w:hint="eastAsia"/>
          <w:sz w:val="30"/>
          <w:szCs w:val="30"/>
        </w:rPr>
        <w:lastRenderedPageBreak/>
        <w:t>年初预算数的主要原因是新分配教师较多。</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、抚恤（款）死亡抚恤（项）年初预算为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w:t>
      </w:r>
      <w:r>
        <w:rPr>
          <w:rFonts w:ascii="Times New Roman" w:eastAsia="仿宋_GB2312" w:hAnsi="Times New Roman" w:cs="仿宋_GB2312"/>
          <w:sz w:val="30"/>
          <w:szCs w:val="30"/>
          <w:lang w:val="en"/>
        </w:rPr>
        <w:t>7,855.</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元，决算数大于年初预算数的主要原因是增加死亡抚恤金。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sz w:val="30"/>
          <w:szCs w:val="30"/>
          <w:lang w:val="en"/>
        </w:rPr>
        <w:t>1,533,759.</w:t>
      </w:r>
      <w:r>
        <w:rPr>
          <w:rFonts w:ascii="Times New Roman" w:eastAsia="仿宋_GB2312" w:hAnsi="Times New Roman" w:cs="仿宋_GB2312" w:hint="eastAsia"/>
          <w:sz w:val="30"/>
          <w:szCs w:val="30"/>
        </w:rPr>
        <w:t>29</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1,294,627.</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85.19%</w:t>
      </w:r>
      <w:r>
        <w:rPr>
          <w:rFonts w:ascii="Times New Roman" w:eastAsia="仿宋_GB2312" w:hAnsi="Times New Roman" w:cs="仿宋_GB2312" w:hint="eastAsia"/>
          <w:sz w:val="30"/>
          <w:szCs w:val="30"/>
        </w:rPr>
        <w:t>，决算数小于年初预算数的主要</w:t>
      </w:r>
      <w:r>
        <w:rPr>
          <w:rFonts w:ascii="Times New Roman" w:eastAsia="仿宋_GB2312" w:hAnsi="Times New Roman" w:cs="仿宋_GB2312" w:hint="eastAsia"/>
          <w:sz w:val="30"/>
          <w:szCs w:val="30"/>
        </w:rPr>
        <w:t>原因是退休人员较多。其中：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sz w:val="30"/>
          <w:szCs w:val="30"/>
          <w:lang w:val="en"/>
        </w:rPr>
        <w:t>1,533,759.</w:t>
      </w:r>
      <w:r>
        <w:rPr>
          <w:rFonts w:ascii="Times New Roman" w:eastAsia="仿宋_GB2312" w:hAnsi="Times New Roman" w:cs="仿宋_GB2312" w:hint="eastAsia"/>
          <w:sz w:val="30"/>
          <w:szCs w:val="30"/>
        </w:rPr>
        <w:t>29</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lang w:val="en"/>
        </w:rPr>
        <w:t>1,744,807.</w:t>
      </w:r>
      <w:r>
        <w:rPr>
          <w:rFonts w:ascii="Times New Roman" w:eastAsia="仿宋_GB2312" w:hAnsi="Times New Roman" w:cs="仿宋_GB2312" w:hint="eastAsia"/>
          <w:sz w:val="30"/>
          <w:szCs w:val="30"/>
        </w:rPr>
        <w:t>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113.76%</w:t>
      </w:r>
      <w:r>
        <w:rPr>
          <w:rFonts w:ascii="Times New Roman" w:eastAsia="仿宋_GB2312" w:hAnsi="Times New Roman" w:cs="仿宋_GB2312" w:hint="eastAsia"/>
          <w:sz w:val="30"/>
          <w:szCs w:val="30"/>
        </w:rPr>
        <w:t>，决算数大于年初预算数的主要原因是在职人员增加缴费增加。</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75F1D" w:rsidRDefault="009B695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36,843,228.87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2,808,650.88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公用经费减少</w:t>
      </w:r>
      <w:r>
        <w:rPr>
          <w:rFonts w:ascii="Times New Roman" w:eastAsia="仿宋_GB2312" w:hAnsi="Times New Roman" w:cs="仿宋_GB2312" w:hint="eastAsia"/>
          <w:kern w:val="0"/>
          <w:sz w:val="30"/>
          <w:szCs w:val="30"/>
        </w:rPr>
        <w:t>其中：</w:t>
      </w:r>
    </w:p>
    <w:p w:rsidR="00A75F1D" w:rsidRDefault="009B695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35,151,143.49</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基本工资、津贴补贴、奖金、住房公积金、退休费、基本养老保险、职业年金缴费、基本医疗保险缴费、其他社会保险缴费、奖励金、其他对个人和家庭的补助。</w:t>
      </w:r>
    </w:p>
    <w:p w:rsidR="00A75F1D" w:rsidRDefault="009B695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1,692,085.38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办公费、水费、电费、邮电费、取暖费、物业管理费、差旅费、劳务费。</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75F1D" w:rsidRDefault="009B695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w:t>
      </w:r>
      <w:r>
        <w:rPr>
          <w:rFonts w:ascii="Times New Roman" w:eastAsia="仿宋_GB2312" w:hAnsi="Times New Roman" w:cs="仿宋_GB2312" w:hint="eastAsia"/>
          <w:sz w:val="30"/>
          <w:szCs w:val="30"/>
        </w:rPr>
        <w:lastRenderedPageBreak/>
        <w:t>出和结转结余。</w:t>
      </w:r>
      <w:r>
        <w:rPr>
          <w:rFonts w:ascii="Times New Roman" w:eastAsia="仿宋_GB2312" w:hAnsi="Times New Roman" w:cs="仿宋_GB2312" w:hint="eastAsia"/>
          <w:sz w:val="30"/>
          <w:szCs w:val="30"/>
        </w:rPr>
        <w:tab/>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75F1D" w:rsidRDefault="009B69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5555D" w:rsidRDefault="0005555D" w:rsidP="0005555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5555D" w:rsidRDefault="0005555D" w:rsidP="0005555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5555D" w:rsidRDefault="0005555D" w:rsidP="0005555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5555D" w:rsidRDefault="0005555D" w:rsidP="0005555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5555D" w:rsidRDefault="0005555D" w:rsidP="0005555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5555D" w:rsidRDefault="0005555D" w:rsidP="0005555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5555D" w:rsidRDefault="0005555D" w:rsidP="0005555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05555D" w:rsidRDefault="0005555D" w:rsidP="0005555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5555D" w:rsidRDefault="0005555D" w:rsidP="0005555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5555D" w:rsidRDefault="0005555D" w:rsidP="0005555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5555D" w:rsidRDefault="0005555D" w:rsidP="0005555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75F1D" w:rsidRDefault="0005555D" w:rsidP="0005555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75F1D" w:rsidRDefault="009B695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A75F1D" w:rsidRDefault="009B695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75F1D" w:rsidRDefault="009B6954">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日，天津市蓟州中学共有车辆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sidR="0005555D">
        <w:rPr>
          <w:rFonts w:ascii="Times New Roman" w:eastAsia="仿宋_GB2312" w:hAnsi="Times New Roman" w:cs="仿宋_GB2312" w:hint="eastAsia"/>
          <w:sz w:val="30"/>
          <w:szCs w:val="30"/>
        </w:rPr>
        <w:t>小型客车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75F1D" w:rsidRDefault="009B69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年度无需公开项目支出绩效自评结果。</w:t>
      </w:r>
    </w:p>
    <w:p w:rsidR="00A75F1D" w:rsidRDefault="009B695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75F1D" w:rsidRDefault="0005555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年度，天津市蓟州中学教育支出</w:t>
      </w:r>
      <w:r w:rsidR="009B6954" w:rsidRPr="009B6954">
        <w:rPr>
          <w:rFonts w:ascii="Times New Roman" w:eastAsia="仿宋_GB2312" w:hAnsi="Times New Roman" w:cs="仿宋_GB2312"/>
          <w:sz w:val="30"/>
          <w:szCs w:val="30"/>
        </w:rPr>
        <w:t>34933286.36</w:t>
      </w:r>
      <w:r>
        <w:rPr>
          <w:rFonts w:ascii="Times New Roman" w:eastAsia="仿宋_GB2312" w:hAnsi="Times New Roman" w:cs="仿宋_GB2312" w:hint="eastAsia"/>
          <w:sz w:val="30"/>
          <w:szCs w:val="30"/>
        </w:rPr>
        <w:t>元、社会保障和就业支出</w:t>
      </w:r>
      <w:r w:rsidR="009B6954" w:rsidRPr="009B6954">
        <w:rPr>
          <w:rFonts w:ascii="Times New Roman" w:eastAsia="仿宋_GB2312" w:hAnsi="Times New Roman" w:cs="仿宋_GB2312"/>
          <w:sz w:val="30"/>
          <w:szCs w:val="30"/>
        </w:rPr>
        <w:t>4222472.16</w:t>
      </w:r>
      <w:r>
        <w:rPr>
          <w:rFonts w:ascii="Times New Roman" w:eastAsia="仿宋_GB2312" w:hAnsi="Times New Roman" w:cs="仿宋_GB2312" w:hint="eastAsia"/>
          <w:sz w:val="30"/>
          <w:szCs w:val="30"/>
        </w:rPr>
        <w:t>元、卫生健康支出</w:t>
      </w:r>
      <w:r w:rsidR="009B6954" w:rsidRPr="009B6954">
        <w:rPr>
          <w:rFonts w:ascii="Times New Roman" w:eastAsia="仿宋_GB2312" w:hAnsi="Times New Roman" w:cs="仿宋_GB2312"/>
          <w:sz w:val="30"/>
          <w:szCs w:val="30"/>
        </w:rPr>
        <w:t>1744807.22</w:t>
      </w:r>
      <w:bookmarkStart w:id="0" w:name="_GoBack"/>
      <w:bookmarkEnd w:id="0"/>
      <w:r>
        <w:rPr>
          <w:rFonts w:ascii="Times New Roman" w:eastAsia="仿宋_GB2312" w:hAnsi="Times New Roman" w:cs="仿宋_GB2312" w:hint="eastAsia"/>
          <w:sz w:val="30"/>
          <w:szCs w:val="30"/>
        </w:rPr>
        <w:t>元。</w:t>
      </w:r>
    </w:p>
    <w:p w:rsidR="00A75F1D" w:rsidRDefault="00A75F1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75F1D" w:rsidRDefault="009B695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75F1D" w:rsidRDefault="009B695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75F1D" w:rsidRDefault="00A75F1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75F1D" w:rsidRDefault="009B69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75F1D" w:rsidRDefault="009B695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75F1D" w:rsidRDefault="009B695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75F1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FFFB695F"/>
    <w:rsid w:val="00013A12"/>
    <w:rsid w:val="0002687D"/>
    <w:rsid w:val="00047C6F"/>
    <w:rsid w:val="000528EE"/>
    <w:rsid w:val="0005555D"/>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106D7"/>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B6954"/>
    <w:rsid w:val="009D74D7"/>
    <w:rsid w:val="00A57AE7"/>
    <w:rsid w:val="00A75F1D"/>
    <w:rsid w:val="00AF71AE"/>
    <w:rsid w:val="00B33C70"/>
    <w:rsid w:val="00B75228"/>
    <w:rsid w:val="00B811F1"/>
    <w:rsid w:val="00B81B9F"/>
    <w:rsid w:val="00B95824"/>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321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848</Words>
  <Characters>4836</Characters>
  <Application>Microsoft Office Word</Application>
  <DocSecurity>0</DocSecurity>
  <Lines>40</Lines>
  <Paragraphs>11</Paragraphs>
  <ScaleCrop>false</ScaleCrop>
  <Company>HP Inc.</Company>
  <LinksUpToDate>false</LinksUpToDate>
  <CharactersWithSpaces>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2023-08-11T16:11:00Z</dcterms:created>
  <dcterms:modified xsi:type="dcterms:W3CDTF">2024-09-11T02:21:00Z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A44E0A178634409BBBA50D5636087390_13</vt:lpwstr>
  </property>
</Properties>
</file>