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2CCA88">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15E54C37">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3379AB29">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1DCEFADB">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3ECFEBC4">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32D8CE73">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4530736C">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7EA84857">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1B476736">
      <w:pPr>
        <w:autoSpaceDE w:val="0"/>
        <w:autoSpaceDN w:val="0"/>
        <w:adjustRightInd w:val="0"/>
        <w:jc w:val="center"/>
        <w:rPr>
          <w:rFonts w:ascii="Times New Roman" w:hAnsi="Times New Roman" w:eastAsia="方正小标宋简体" w:cs="方正小标宋简体"/>
          <w:kern w:val="0"/>
          <w:sz w:val="48"/>
          <w:szCs w:val="48"/>
          <w:highlight w:val="none"/>
          <w:lang w:val="zh-CN"/>
        </w:rPr>
      </w:pPr>
      <w:r>
        <w:rPr>
          <w:rFonts w:hint="eastAsia" w:ascii="Times New Roman" w:hAnsi="Times New Roman" w:eastAsia="方正小标宋简体" w:cs="方正小标宋简体"/>
          <w:kern w:val="0"/>
          <w:sz w:val="48"/>
          <w:szCs w:val="48"/>
          <w:highlight w:val="none"/>
          <w:lang w:val="zh-CN"/>
        </w:rPr>
        <w:t>天津市蓟州区东施古镇西施古中心小学2023年度部门决算</w:t>
      </w:r>
    </w:p>
    <w:p w14:paraId="7E0420DF">
      <w:pPr>
        <w:autoSpaceDE w:val="0"/>
        <w:autoSpaceDN w:val="0"/>
        <w:adjustRightInd w:val="0"/>
        <w:spacing w:line="580" w:lineRule="exact"/>
        <w:jc w:val="center"/>
        <w:rPr>
          <w:rFonts w:ascii="Times New Roman" w:hAnsi="Times New Roman" w:eastAsia="黑体" w:cs="黑体"/>
          <w:sz w:val="30"/>
          <w:szCs w:val="30"/>
          <w:highlight w:val="none"/>
        </w:rPr>
      </w:pPr>
    </w:p>
    <w:p w14:paraId="280B84C0">
      <w:pPr>
        <w:autoSpaceDE w:val="0"/>
        <w:autoSpaceDN w:val="0"/>
        <w:adjustRightInd w:val="0"/>
        <w:spacing w:line="580" w:lineRule="exact"/>
        <w:jc w:val="center"/>
        <w:rPr>
          <w:rFonts w:ascii="Times New Roman" w:hAnsi="Times New Roman" w:eastAsia="黑体" w:cs="黑体"/>
          <w:sz w:val="30"/>
          <w:szCs w:val="30"/>
          <w:highlight w:val="none"/>
        </w:rPr>
      </w:pPr>
    </w:p>
    <w:p w14:paraId="7637C983">
      <w:pPr>
        <w:autoSpaceDE w:val="0"/>
        <w:autoSpaceDN w:val="0"/>
        <w:adjustRightInd w:val="0"/>
        <w:spacing w:line="580" w:lineRule="exact"/>
        <w:jc w:val="center"/>
        <w:rPr>
          <w:rFonts w:ascii="Times New Roman" w:hAnsi="Times New Roman" w:eastAsia="黑体" w:cs="黑体"/>
          <w:sz w:val="30"/>
          <w:szCs w:val="30"/>
          <w:highlight w:val="none"/>
        </w:rPr>
      </w:pPr>
    </w:p>
    <w:p w14:paraId="6E038E31">
      <w:pPr>
        <w:autoSpaceDE w:val="0"/>
        <w:autoSpaceDN w:val="0"/>
        <w:adjustRightInd w:val="0"/>
        <w:spacing w:line="580" w:lineRule="exact"/>
        <w:jc w:val="center"/>
        <w:rPr>
          <w:rFonts w:ascii="Times New Roman" w:hAnsi="Times New Roman" w:eastAsia="黑体" w:cs="黑体"/>
          <w:sz w:val="30"/>
          <w:szCs w:val="30"/>
          <w:highlight w:val="none"/>
        </w:rPr>
      </w:pPr>
    </w:p>
    <w:p w14:paraId="40151353">
      <w:pPr>
        <w:autoSpaceDE w:val="0"/>
        <w:autoSpaceDN w:val="0"/>
        <w:adjustRightInd w:val="0"/>
        <w:spacing w:line="580" w:lineRule="exact"/>
        <w:jc w:val="center"/>
        <w:rPr>
          <w:rFonts w:ascii="Times New Roman" w:hAnsi="Times New Roman" w:eastAsia="黑体" w:cs="黑体"/>
          <w:sz w:val="30"/>
          <w:szCs w:val="30"/>
          <w:highlight w:val="none"/>
        </w:rPr>
      </w:pPr>
    </w:p>
    <w:p w14:paraId="2CFD06A0">
      <w:pPr>
        <w:autoSpaceDE w:val="0"/>
        <w:autoSpaceDN w:val="0"/>
        <w:adjustRightInd w:val="0"/>
        <w:spacing w:line="600" w:lineRule="exact"/>
        <w:jc w:val="center"/>
        <w:rPr>
          <w:rFonts w:ascii="Times New Roman" w:hAnsi="Times New Roman" w:eastAsia="黑体" w:cs="黑体"/>
          <w:kern w:val="0"/>
          <w:sz w:val="44"/>
          <w:szCs w:val="44"/>
          <w:highlight w:val="none"/>
        </w:rPr>
      </w:pPr>
      <w:r>
        <w:rPr>
          <w:rFonts w:ascii="Times New Roman" w:hAnsi="Times New Roman" w:eastAsia="黑体" w:cs="黑体"/>
          <w:sz w:val="30"/>
          <w:szCs w:val="30"/>
          <w:highlight w:val="none"/>
        </w:rPr>
        <w:br w:type="page"/>
      </w:r>
    </w:p>
    <w:p w14:paraId="7FD6C5DB">
      <w:pPr>
        <w:autoSpaceDE w:val="0"/>
        <w:autoSpaceDN w:val="0"/>
        <w:adjustRightInd w:val="0"/>
        <w:spacing w:line="600" w:lineRule="exact"/>
        <w:jc w:val="center"/>
        <w:rPr>
          <w:rFonts w:ascii="Times New Roman" w:hAnsi="Times New Roman" w:eastAsia="黑体" w:cs="黑体"/>
          <w:kern w:val="0"/>
          <w:sz w:val="44"/>
          <w:szCs w:val="44"/>
          <w:highlight w:val="none"/>
        </w:rPr>
      </w:pPr>
      <w:r>
        <w:rPr>
          <w:rFonts w:hint="eastAsia" w:ascii="Times New Roman" w:hAnsi="Times New Roman" w:eastAsia="黑体" w:cs="黑体"/>
          <w:kern w:val="0"/>
          <w:sz w:val="44"/>
          <w:szCs w:val="44"/>
          <w:highlight w:val="none"/>
        </w:rPr>
        <w:t>目</w:t>
      </w:r>
      <w:r>
        <w:rPr>
          <w:rFonts w:hint="eastAsia" w:ascii="Times New Roman" w:hAnsi="Times New Roman" w:eastAsia="黑体" w:cs="黑体"/>
          <w:kern w:val="0"/>
          <w:sz w:val="44"/>
          <w:szCs w:val="44"/>
          <w:highlight w:val="none"/>
          <w:lang w:val="en-US" w:eastAsia="zh-CN"/>
        </w:rPr>
        <w:t xml:space="preserve">   </w:t>
      </w:r>
      <w:r>
        <w:rPr>
          <w:rFonts w:hint="eastAsia" w:ascii="Times New Roman" w:hAnsi="Times New Roman" w:eastAsia="黑体" w:cs="黑体"/>
          <w:kern w:val="0"/>
          <w:sz w:val="44"/>
          <w:szCs w:val="44"/>
          <w:highlight w:val="none"/>
        </w:rPr>
        <w:t>录</w:t>
      </w:r>
    </w:p>
    <w:p w14:paraId="4118755D">
      <w:pPr>
        <w:autoSpaceDE w:val="0"/>
        <w:autoSpaceDN w:val="0"/>
        <w:adjustRightInd w:val="0"/>
        <w:spacing w:line="600" w:lineRule="exact"/>
        <w:jc w:val="left"/>
        <w:rPr>
          <w:rFonts w:ascii="Times New Roman" w:hAnsi="Times New Roman" w:eastAsia="黑体" w:cs="黑体"/>
          <w:kern w:val="0"/>
          <w:sz w:val="30"/>
          <w:szCs w:val="30"/>
          <w:highlight w:val="none"/>
        </w:rPr>
      </w:pPr>
    </w:p>
    <w:p w14:paraId="0E25D4E0">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第一部分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rPr>
        <w:t>概</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rPr>
        <w:t>况</w:t>
      </w:r>
    </w:p>
    <w:p w14:paraId="70C1886A">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一、主要职责</w:t>
      </w:r>
    </w:p>
    <w:p w14:paraId="10F188CD">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二、机构设置</w:t>
      </w:r>
    </w:p>
    <w:p w14:paraId="255457F9">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第二部分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eastAsia="zh-CN"/>
        </w:rPr>
        <w:t>2023</w:t>
      </w:r>
      <w:r>
        <w:rPr>
          <w:rFonts w:hint="eastAsia" w:ascii="Times New Roman" w:hAnsi="Times New Roman" w:eastAsia="方正小标宋简体" w:cs="方正小标宋简体"/>
          <w:kern w:val="0"/>
          <w:sz w:val="30"/>
          <w:szCs w:val="30"/>
          <w:highlight w:val="none"/>
        </w:rPr>
        <w:t>年度部门决算表</w:t>
      </w:r>
    </w:p>
    <w:p w14:paraId="1DEE93E3">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一、收入支出决算总表</w:t>
      </w:r>
    </w:p>
    <w:p w14:paraId="7CF35C96">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二、收入决算表（按功能分类列示）</w:t>
      </w:r>
    </w:p>
    <w:p w14:paraId="71EE249E">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三、收入决算表（按单位列示）</w:t>
      </w:r>
    </w:p>
    <w:p w14:paraId="0316E0A0">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四、支出决算表</w:t>
      </w:r>
    </w:p>
    <w:p w14:paraId="4A72EDE6">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五、财政拨款收入支出决算总表</w:t>
      </w:r>
    </w:p>
    <w:p w14:paraId="77549D13">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六、一般公共预算财政拨款支出决算表</w:t>
      </w:r>
    </w:p>
    <w:p w14:paraId="3DC0AE78">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七、一般公共预算财政拨款基本支出决算表</w:t>
      </w:r>
    </w:p>
    <w:p w14:paraId="1A377AB4">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八、政府性基金预算财政拨款收入支出决算表</w:t>
      </w:r>
    </w:p>
    <w:p w14:paraId="07589CF6">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九、国有资本经营预算财政拨款收入支出决算表</w:t>
      </w:r>
    </w:p>
    <w:p w14:paraId="545FDB3D">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经费支出决算表</w:t>
      </w:r>
    </w:p>
    <w:p w14:paraId="44DEBA88">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十一、项目支出决算表</w:t>
      </w:r>
    </w:p>
    <w:p w14:paraId="1FF50500">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十二、关于空表的说明</w:t>
      </w:r>
    </w:p>
    <w:p w14:paraId="2A91A629">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第三部分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eastAsia="zh-CN"/>
        </w:rPr>
        <w:t>2023</w:t>
      </w:r>
      <w:r>
        <w:rPr>
          <w:rFonts w:hint="eastAsia" w:ascii="Times New Roman" w:hAnsi="Times New Roman" w:eastAsia="方正小标宋简体" w:cs="方正小标宋简体"/>
          <w:kern w:val="0"/>
          <w:sz w:val="30"/>
          <w:szCs w:val="30"/>
          <w:highlight w:val="none"/>
        </w:rPr>
        <w:t>年度部门决算情况说明</w:t>
      </w:r>
    </w:p>
    <w:p w14:paraId="2AF695A2">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一、收支决算总体情况说明</w:t>
      </w:r>
    </w:p>
    <w:p w14:paraId="7EF10D91">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二、收入决算情况说明</w:t>
      </w:r>
    </w:p>
    <w:p w14:paraId="4F13C8C2">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三、支出决算情况说明</w:t>
      </w:r>
    </w:p>
    <w:p w14:paraId="6E4C7120">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四、财政拨款收支决算总体情况说明</w:t>
      </w:r>
    </w:p>
    <w:p w14:paraId="618FCF09">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五、一般公共预算财政拨款支出决算情况说明</w:t>
      </w:r>
    </w:p>
    <w:p w14:paraId="736F9EBC">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六、一般公共预算财政拨款基本支出决算情况说明</w:t>
      </w:r>
    </w:p>
    <w:p w14:paraId="4D4E226C">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七、政府性基金预算财政拨款收支决算情况说明</w:t>
      </w:r>
    </w:p>
    <w:p w14:paraId="1196ADE7">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八、国有资本经营预算财政拨款收支决算情况说明</w:t>
      </w:r>
    </w:p>
    <w:p w14:paraId="02C99731">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九、财政拨款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经费支出决算情况说明</w:t>
      </w:r>
    </w:p>
    <w:p w14:paraId="2B1E9389">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十、机关运行经费支出情况说明</w:t>
      </w:r>
    </w:p>
    <w:p w14:paraId="3D955C6B">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十一、政府采购支出情况说明</w:t>
      </w:r>
    </w:p>
    <w:p w14:paraId="3BDD3FCE">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十二、国有资产占有使用情况说明</w:t>
      </w:r>
    </w:p>
    <w:p w14:paraId="607DE285">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十三、预算绩效情况说明</w:t>
      </w:r>
    </w:p>
    <w:p w14:paraId="715F6F4A">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lang w:val="en"/>
        </w:rPr>
      </w:pPr>
      <w:r>
        <w:rPr>
          <w:rFonts w:hint="eastAsia" w:ascii="Times New Roman" w:hAnsi="Times New Roman" w:eastAsia="仿宋_GB2312" w:cs="仿宋_GB2312"/>
          <w:kern w:val="0"/>
          <w:sz w:val="30"/>
          <w:szCs w:val="30"/>
          <w:highlight w:val="none"/>
        </w:rPr>
        <w:t>十四、教育、医疗卫生、社会保障和就业、住房保障、涉农补贴等民生支出情况说明</w:t>
      </w:r>
    </w:p>
    <w:p w14:paraId="7DBDE56D">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lang w:val="en"/>
        </w:rPr>
      </w:pPr>
      <w:r>
        <w:rPr>
          <w:rFonts w:hint="eastAsia" w:ascii="Times New Roman" w:hAnsi="Times New Roman" w:eastAsia="方正小标宋简体" w:cs="方正小标宋简体"/>
          <w:kern w:val="0"/>
          <w:sz w:val="30"/>
          <w:szCs w:val="30"/>
          <w:highlight w:val="none"/>
          <w:lang w:val="en"/>
        </w:rPr>
        <w:t>第四部分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val="en"/>
        </w:rPr>
        <w:t>名词解释</w:t>
      </w:r>
    </w:p>
    <w:p w14:paraId="0D3F6A05">
      <w:pPr>
        <w:autoSpaceDE w:val="0"/>
        <w:autoSpaceDN w:val="0"/>
        <w:adjustRightInd w:val="0"/>
        <w:spacing w:line="700" w:lineRule="exact"/>
        <w:jc w:val="left"/>
        <w:rPr>
          <w:rFonts w:ascii="Times New Roman" w:hAnsi="Times New Roman" w:eastAsia="黑体" w:cs="黑体"/>
          <w:sz w:val="30"/>
          <w:szCs w:val="30"/>
          <w:highlight w:val="none"/>
          <w:lang w:val="zh-CN"/>
        </w:rPr>
      </w:pPr>
      <w:r>
        <w:rPr>
          <w:rFonts w:ascii="Times New Roman" w:hAnsi="Times New Roman" w:eastAsia="黑体" w:cs="黑体"/>
          <w:sz w:val="30"/>
          <w:szCs w:val="30"/>
          <w:highlight w:val="none"/>
          <w:lang w:val="zh-CN"/>
        </w:rPr>
        <w:br w:type="page"/>
      </w:r>
    </w:p>
    <w:p w14:paraId="3691F251">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第一部分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rPr>
        <w:t>概</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rPr>
        <w:t>况</w:t>
      </w:r>
    </w:p>
    <w:p w14:paraId="7C2C65AA">
      <w:pPr>
        <w:keepNext/>
        <w:keepLines/>
        <w:autoSpaceDE w:val="0"/>
        <w:autoSpaceDN w:val="0"/>
        <w:adjustRightInd w:val="0"/>
        <w:spacing w:line="6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一、主要职责</w:t>
      </w:r>
    </w:p>
    <w:p w14:paraId="41992B31">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东施古镇西施古中心小学负责贯彻党的教育方针，坚持社会主义办学方向，对学生进行各方面教育，负责配合各级人民政府依法动员适龄儿童、少年入学，严格控制学生辍学，依法保证适龄儿童、少年接受九年义务教育，负责制定学校教育发展规划，并抓好组织实施和落实工作，负责按照教育主管部门发布的指导性教学计划、教学大纲，组织实施教育教学活动等。</w:t>
      </w:r>
    </w:p>
    <w:p w14:paraId="3774FAC6">
      <w:pPr>
        <w:keepNext/>
        <w:keepLines/>
        <w:autoSpaceDE w:val="0"/>
        <w:autoSpaceDN w:val="0"/>
        <w:adjustRightInd w:val="0"/>
        <w:spacing w:line="6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二、机构设置</w:t>
      </w:r>
    </w:p>
    <w:p w14:paraId="755C05C9">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天津市蓟州区东施古镇西施古中心小学内设5个</w:t>
      </w:r>
      <w:r>
        <w:rPr>
          <w:rFonts w:hint="eastAsia" w:ascii="Times New Roman" w:hAnsi="Times New Roman" w:eastAsia="仿宋_GB2312" w:cs="仿宋_GB2312"/>
          <w:sz w:val="30"/>
          <w:szCs w:val="30"/>
        </w:rPr>
        <w:t>职能科室</w:t>
      </w:r>
      <w:r>
        <w:rPr>
          <w:rFonts w:hint="eastAsia" w:ascii="Times New Roman" w:hAnsi="Times New Roman" w:eastAsia="仿宋_GB2312" w:cs="仿宋_GB2312"/>
          <w:sz w:val="30"/>
          <w:szCs w:val="30"/>
          <w:highlight w:val="none"/>
          <w:lang w:eastAsia="zh-CN"/>
        </w:rPr>
        <w:t>；下辖0个预算单位。纳入天津市蓟州区东施古镇西施古中心小学2023年度部门决算编制范围的单位包括：</w:t>
      </w:r>
    </w:p>
    <w:p w14:paraId="2C867370">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bookmarkStart w:id="0" w:name="_GoBack"/>
      <w:r>
        <w:rPr>
          <w:rFonts w:hint="eastAsia" w:ascii="Times New Roman" w:hAnsi="Times New Roman" w:eastAsia="仿宋_GB2312" w:cs="仿宋_GB2312"/>
          <w:sz w:val="30"/>
          <w:szCs w:val="30"/>
          <w:highlight w:val="none"/>
          <w:lang w:eastAsia="zh-CN"/>
        </w:rPr>
        <w:t>天津市</w:t>
      </w:r>
      <w:bookmarkEnd w:id="0"/>
      <w:r>
        <w:rPr>
          <w:rFonts w:hint="eastAsia" w:ascii="Times New Roman" w:hAnsi="Times New Roman" w:eastAsia="仿宋_GB2312" w:cs="仿宋_GB2312"/>
          <w:sz w:val="30"/>
          <w:szCs w:val="30"/>
          <w:highlight w:val="none"/>
          <w:lang w:eastAsia="zh-CN"/>
        </w:rPr>
        <w:t>蓟州区东施古镇西施古中心小学。</w:t>
      </w:r>
    </w:p>
    <w:p w14:paraId="53A595DE">
      <w:pPr>
        <w:rPr>
          <w:rFonts w:ascii="Times New Roman" w:hAnsi="Times New Roman" w:eastAsia="黑体" w:cs="黑体"/>
          <w:sz w:val="30"/>
          <w:szCs w:val="30"/>
          <w:highlight w:val="none"/>
          <w:lang w:val="zh-CN"/>
        </w:rPr>
      </w:pPr>
      <w:r>
        <w:rPr>
          <w:rFonts w:ascii="Times New Roman" w:hAnsi="Times New Roman" w:eastAsia="黑体" w:cs="黑体"/>
          <w:sz w:val="30"/>
          <w:szCs w:val="30"/>
          <w:highlight w:val="none"/>
          <w:lang w:val="zh-CN"/>
        </w:rPr>
        <w:br w:type="page"/>
      </w:r>
    </w:p>
    <w:p w14:paraId="38C59783">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第二部分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lang w:eastAsia="zh-CN"/>
        </w:rPr>
        <w:t>2023</w:t>
      </w:r>
      <w:r>
        <w:rPr>
          <w:rFonts w:hint="eastAsia" w:ascii="Times New Roman" w:hAnsi="Times New Roman" w:eastAsia="方正小标宋简体" w:cs="方正小标宋简体"/>
          <w:kern w:val="44"/>
          <w:sz w:val="44"/>
          <w:szCs w:val="44"/>
          <w:highlight w:val="none"/>
        </w:rPr>
        <w:t>年度部门决算表</w:t>
      </w:r>
    </w:p>
    <w:p w14:paraId="52575995">
      <w:pPr>
        <w:autoSpaceDE w:val="0"/>
        <w:autoSpaceDN w:val="0"/>
        <w:adjustRightInd w:val="0"/>
        <w:spacing w:line="600" w:lineRule="exact"/>
        <w:jc w:val="left"/>
        <w:rPr>
          <w:rFonts w:ascii="Times New Roman" w:hAnsi="Times New Roman" w:eastAsia="方正小标宋简体" w:cs="Times New Roman"/>
          <w:kern w:val="0"/>
          <w:sz w:val="24"/>
          <w:szCs w:val="24"/>
          <w:highlight w:val="none"/>
        </w:rPr>
      </w:pPr>
    </w:p>
    <w:p w14:paraId="70483D4C">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一、《收入支出决算总表》</w:t>
      </w:r>
    </w:p>
    <w:p w14:paraId="610B88AB">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二、《收入决算表（按功能分类列示）》</w:t>
      </w:r>
    </w:p>
    <w:p w14:paraId="3E44F0B2">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三、《收入决算表（按单位列示）》</w:t>
      </w:r>
    </w:p>
    <w:p w14:paraId="544AEC2F">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四、《支出决算表》</w:t>
      </w:r>
    </w:p>
    <w:p w14:paraId="6F3025E3">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五、《财政拨款收入支出决算总表》</w:t>
      </w:r>
    </w:p>
    <w:p w14:paraId="130DCC0C">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六、《一般公共预算财政拨款支出决算表》</w:t>
      </w:r>
    </w:p>
    <w:p w14:paraId="3CA9364D">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七、《一般公共预算财政拨款基本支出决算表》</w:t>
      </w:r>
    </w:p>
    <w:p w14:paraId="0776FBD1">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八、《政府性基金预算财政拨款收入支出决算表》</w:t>
      </w:r>
    </w:p>
    <w:p w14:paraId="092B1212">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九、《国有资本经营预算财政拨款收入支出决算表》</w:t>
      </w:r>
    </w:p>
    <w:p w14:paraId="4D0A1A1B">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十、《财政拨款</w:t>
      </w:r>
      <w:r>
        <w:rPr>
          <w:rFonts w:ascii="Times New Roman" w:hAnsi="Times New Roman" w:eastAsia="黑体" w:cs="黑体"/>
          <w:kern w:val="0"/>
          <w:sz w:val="30"/>
          <w:szCs w:val="30"/>
          <w:highlight w:val="none"/>
        </w:rPr>
        <w:t>“</w:t>
      </w:r>
      <w:r>
        <w:rPr>
          <w:rFonts w:hint="eastAsia" w:ascii="Times New Roman" w:hAnsi="Times New Roman" w:eastAsia="黑体" w:cs="黑体"/>
          <w:kern w:val="0"/>
          <w:sz w:val="30"/>
          <w:szCs w:val="30"/>
          <w:highlight w:val="none"/>
        </w:rPr>
        <w:t>三公</w:t>
      </w:r>
      <w:r>
        <w:rPr>
          <w:rFonts w:ascii="Times New Roman" w:hAnsi="Times New Roman" w:eastAsia="黑体" w:cs="黑体"/>
          <w:kern w:val="0"/>
          <w:sz w:val="30"/>
          <w:szCs w:val="30"/>
          <w:highlight w:val="none"/>
        </w:rPr>
        <w:t>”</w:t>
      </w:r>
      <w:r>
        <w:rPr>
          <w:rFonts w:hint="eastAsia" w:ascii="Times New Roman" w:hAnsi="Times New Roman" w:eastAsia="黑体" w:cs="黑体"/>
          <w:kern w:val="0"/>
          <w:sz w:val="30"/>
          <w:szCs w:val="30"/>
          <w:highlight w:val="none"/>
        </w:rPr>
        <w:t>经费支出决算表》</w:t>
      </w:r>
    </w:p>
    <w:p w14:paraId="6E0620DE">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十一、《项目支出决算表》</w:t>
      </w:r>
    </w:p>
    <w:p w14:paraId="04D89C1C">
      <w:pPr>
        <w:autoSpaceDE w:val="0"/>
        <w:autoSpaceDN w:val="0"/>
        <w:adjustRightInd w:val="0"/>
        <w:spacing w:line="600" w:lineRule="exact"/>
        <w:jc w:val="left"/>
        <w:rPr>
          <w:rFonts w:ascii="Times New Roman" w:hAnsi="Times New Roman" w:eastAsia="黑体" w:cs="黑体"/>
          <w:b/>
          <w:bCs/>
          <w:kern w:val="0"/>
          <w:sz w:val="30"/>
          <w:szCs w:val="30"/>
          <w:highlight w:val="none"/>
        </w:rPr>
      </w:pPr>
      <w:r>
        <w:rPr>
          <w:rFonts w:ascii="Times New Roman" w:hAnsi="Times New Roman" w:eastAsia="楷体" w:cs="Times New Roman"/>
          <w:kern w:val="0"/>
          <w:sz w:val="24"/>
          <w:szCs w:val="24"/>
          <w:highlight w:val="none"/>
        </w:rPr>
        <w:br w:type="page"/>
      </w:r>
      <w:r>
        <w:rPr>
          <w:rFonts w:hint="eastAsia" w:ascii="Times New Roman" w:hAnsi="Times New Roman" w:eastAsia="黑体" w:cs="黑体"/>
          <w:b/>
          <w:bCs/>
          <w:kern w:val="0"/>
          <w:sz w:val="30"/>
          <w:szCs w:val="30"/>
          <w:highlight w:val="none"/>
        </w:rPr>
        <w:t>十二、关于空表的说明</w:t>
      </w:r>
    </w:p>
    <w:p w14:paraId="636D00E3">
      <w:pPr>
        <w:keepNext w:val="0"/>
        <w:keepLines w:val="0"/>
        <w:pageBreakBefore w:val="0"/>
        <w:widowControl w:val="0"/>
        <w:kinsoku/>
        <w:wordWrap/>
        <w:overflowPunct/>
        <w:topLinePunct w:val="0"/>
        <w:autoSpaceDE w:val="0"/>
        <w:autoSpaceDN w:val="0"/>
        <w:bidi w:val="0"/>
        <w:adjustRightInd w:val="0"/>
        <w:snapToGrid/>
        <w:spacing w:line="600" w:lineRule="exact"/>
        <w:ind w:firstLine="600" w:firstLineChars="200"/>
        <w:jc w:val="left"/>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1.天津市蓟州区东施古镇西施古中心小学2023年度政府性基金预算财政拨款收入支出决算表为空表。</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2.天津市蓟州区东施古镇西施古中心小学2023年度国有资本经营预算财政拨款收入支出决算表为空表。</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3.天津市蓟州区东施古镇西施古中心小学2023年度财政拨款“三公”经费支出决算表为空表。</w:t>
      </w:r>
    </w:p>
    <w:p w14:paraId="4E9CA496">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p>
    <w:p w14:paraId="71C8A6CE">
      <w:pPr>
        <w:keepNext/>
        <w:keepLines/>
        <w:autoSpaceDE w:val="0"/>
        <w:autoSpaceDN w:val="0"/>
        <w:adjustRightInd w:val="0"/>
        <w:spacing w:line="600" w:lineRule="exact"/>
        <w:ind w:firstLine="600"/>
        <w:jc w:val="left"/>
        <w:outlineLvl w:val="1"/>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第三部分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lang w:eastAsia="zh-CN"/>
        </w:rPr>
        <w:t>2023</w:t>
      </w:r>
      <w:r>
        <w:rPr>
          <w:rFonts w:hint="eastAsia" w:ascii="Times New Roman" w:hAnsi="Times New Roman" w:eastAsia="方正小标宋简体" w:cs="方正小标宋简体"/>
          <w:kern w:val="44"/>
          <w:sz w:val="44"/>
          <w:szCs w:val="44"/>
          <w:highlight w:val="none"/>
        </w:rPr>
        <w:t>年度部门决算情况说明</w:t>
      </w:r>
    </w:p>
    <w:p w14:paraId="30C3A3DB">
      <w:pPr>
        <w:autoSpaceDE w:val="0"/>
        <w:autoSpaceDN w:val="0"/>
        <w:adjustRightInd w:val="0"/>
        <w:spacing w:line="580" w:lineRule="exact"/>
        <w:ind w:firstLine="600"/>
        <w:jc w:val="left"/>
        <w:rPr>
          <w:rFonts w:ascii="Times New Roman" w:hAnsi="Times New Roman" w:eastAsia="黑体" w:cs="黑体"/>
          <w:sz w:val="30"/>
          <w:szCs w:val="30"/>
          <w:highlight w:val="none"/>
          <w:lang w:val="zh-CN"/>
        </w:rPr>
      </w:pPr>
    </w:p>
    <w:p w14:paraId="21F1B58E">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一、收入支出决算总体情况说明</w:t>
      </w:r>
    </w:p>
    <w:p w14:paraId="18AF602A">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val="zh-CN" w:eastAsia="zh-CN"/>
        </w:rPr>
        <w:t>天津市蓟州区东施古镇西施古中心小学2023年度收入、支出决算总计</w:t>
      </w:r>
      <w:r>
        <w:rPr>
          <w:rFonts w:hint="eastAsia" w:ascii="Times New Roman" w:hAnsi="Times New Roman" w:eastAsia="仿宋_GB2312" w:cs="仿宋_GB2312"/>
          <w:sz w:val="30"/>
          <w:szCs w:val="30"/>
          <w:highlight w:val="none"/>
          <w:lang w:eastAsia="zh-CN"/>
        </w:rPr>
        <w:t>4,481,101.71元，与2022年度相比，收、支总计各减少322,881.81元，下降6.72%，</w:t>
      </w:r>
      <w:r>
        <w:rPr>
          <w:rFonts w:hint="eastAsia" w:ascii="Times New Roman" w:hAnsi="Times New Roman" w:eastAsia="仿宋_GB2312" w:cs="仿宋_GB2312"/>
          <w:sz w:val="30"/>
          <w:szCs w:val="30"/>
          <w:highlight w:val="none"/>
          <w:lang w:val="zh-CN" w:eastAsia="zh-CN"/>
        </w:rPr>
        <w:t>主要原因是</w:t>
      </w:r>
      <w:r>
        <w:rPr>
          <w:rFonts w:hint="eastAsia" w:ascii="Times New Roman" w:hAnsi="Times New Roman" w:eastAsia="仿宋_GB2312" w:cs="仿宋_GB2312"/>
          <w:sz w:val="30"/>
          <w:szCs w:val="30"/>
          <w:highlight w:val="none"/>
          <w:lang w:eastAsia="zh-CN"/>
        </w:rPr>
        <w:t>：教职工人员调整人员经费减少，校园保安经费减少，公用经费减少，缺少课后服务经费。</w:t>
      </w:r>
    </w:p>
    <w:p w14:paraId="168B8A58">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二、</w:t>
      </w:r>
      <w:r>
        <w:rPr>
          <w:rFonts w:hint="eastAsia" w:ascii="Times New Roman" w:hAnsi="Times New Roman" w:eastAsia="黑体" w:cs="黑体"/>
          <w:b/>
          <w:bCs/>
          <w:kern w:val="0"/>
          <w:sz w:val="30"/>
          <w:szCs w:val="30"/>
          <w:highlight w:val="none"/>
        </w:rPr>
        <w:t>收入决算情况</w:t>
      </w:r>
      <w:r>
        <w:rPr>
          <w:rFonts w:hint="eastAsia" w:ascii="Times New Roman" w:hAnsi="Times New Roman" w:eastAsia="黑体" w:cs="黑体"/>
          <w:b/>
          <w:bCs/>
          <w:kern w:val="0"/>
          <w:sz w:val="30"/>
          <w:szCs w:val="30"/>
          <w:highlight w:val="none"/>
          <w:lang w:val="zh-CN"/>
        </w:rPr>
        <w:t>说明</w:t>
      </w:r>
    </w:p>
    <w:p w14:paraId="1E06B7B3">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val="en-US" w:eastAsia="zh-CN"/>
        </w:rPr>
      </w:pPr>
      <w:r>
        <w:rPr>
          <w:rFonts w:hint="eastAsia" w:ascii="Times New Roman" w:hAnsi="Times New Roman" w:eastAsia="仿宋_GB2312" w:cs="仿宋_GB2312"/>
          <w:sz w:val="30"/>
          <w:szCs w:val="30"/>
          <w:highlight w:val="none"/>
          <w:lang w:eastAsia="zh-CN"/>
        </w:rPr>
        <w:t>天津市蓟州区东施古镇西施古中心小学</w:t>
      </w:r>
      <w:r>
        <w:rPr>
          <w:rFonts w:hint="eastAsia" w:ascii="Times New Roman" w:hAnsi="Times New Roman" w:eastAsia="仿宋_GB2312" w:cs="Times New Roman"/>
          <w:sz w:val="30"/>
          <w:szCs w:val="30"/>
          <w:highlight w:val="none"/>
          <w:lang w:eastAsia="zh-CN"/>
        </w:rPr>
        <w:t>2023</w:t>
      </w:r>
      <w:r>
        <w:rPr>
          <w:rFonts w:hint="eastAsia" w:ascii="Times New Roman" w:hAnsi="Times New Roman" w:eastAsia="仿宋_GB2312" w:cs="仿宋_GB2312"/>
          <w:sz w:val="30"/>
          <w:szCs w:val="30"/>
          <w:highlight w:val="none"/>
          <w:lang w:val="zh-CN"/>
        </w:rPr>
        <w:t>年度本年收入合计</w:t>
      </w:r>
      <w:r>
        <w:rPr>
          <w:rFonts w:hint="eastAsia" w:ascii="Times New Roman" w:hAnsi="Times New Roman" w:eastAsia="仿宋_GB2312" w:cs="Times New Roman"/>
          <w:sz w:val="30"/>
          <w:szCs w:val="30"/>
          <w:highlight w:val="none"/>
          <w:lang w:eastAsia="zh-CN"/>
        </w:rPr>
        <w:t>4,481,101.71</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eastAsia="zh-CN"/>
        </w:rPr>
        <w:t>减少322,701.81</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lang w:val="zh-CN"/>
        </w:rPr>
        <w:t>主要原因是</w:t>
      </w:r>
      <w:r>
        <w:rPr>
          <w:rFonts w:hint="eastAsia"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lang w:eastAsia="zh-CN"/>
        </w:rPr>
        <w:t>教职工人员调整人员经费减少，校园保安经费减少，公用经费减少，缺少课后服务经费。</w:t>
      </w:r>
      <w:r>
        <w:rPr>
          <w:rFonts w:hint="eastAsia" w:ascii="Times New Roman" w:hAnsi="Times New Roman" w:eastAsia="仿宋_GB2312" w:cs="仿宋_GB2312"/>
          <w:sz w:val="30"/>
          <w:szCs w:val="30"/>
          <w:highlight w:val="none"/>
        </w:rPr>
        <w:t>其中：</w:t>
      </w:r>
      <w:r>
        <w:rPr>
          <w:rFonts w:ascii="Times New Roman" w:hAnsi="Times New Roman" w:eastAsia="仿宋_GB2312" w:cs="仿宋_GB2312"/>
          <w:sz w:val="30"/>
          <w:szCs w:val="30"/>
          <w:highlight w:val="none"/>
          <w:lang w:val="zh-CN"/>
        </w:rPr>
        <w:t>一般公共预算财政拨款收入</w:t>
      </w:r>
      <w:r>
        <w:rPr>
          <w:rFonts w:hint="eastAsia" w:ascii="Times New Roman" w:hAnsi="Times New Roman" w:eastAsia="仿宋_GB2312" w:cs="Times New Roman"/>
          <w:sz w:val="30"/>
          <w:szCs w:val="30"/>
          <w:highlight w:val="none"/>
          <w:lang w:eastAsia="zh-CN"/>
        </w:rPr>
        <w:t>4,434,100.71</w:t>
      </w:r>
      <w:r>
        <w:rPr>
          <w:rFonts w:hint="eastAsia" w:ascii="Times New Roman" w:hAnsi="Times New Roman" w:eastAsia="仿宋_GB2312" w:cs="仿宋_GB2312"/>
          <w:sz w:val="30"/>
          <w:szCs w:val="30"/>
          <w:highlight w:val="none"/>
          <w:lang w:val="zh-CN"/>
        </w:rPr>
        <w:t>元</w:t>
      </w:r>
      <w:r>
        <w:rPr>
          <w:rFonts w:ascii="Times New Roman" w:hAnsi="Times New Roman" w:eastAsia="仿宋_GB2312" w:cs="仿宋_GB2312"/>
          <w:sz w:val="30"/>
          <w:szCs w:val="30"/>
          <w:highlight w:val="none"/>
          <w:lang w:val="zh-CN"/>
        </w:rPr>
        <w:t>，占</w:t>
      </w:r>
      <w:r>
        <w:rPr>
          <w:rFonts w:hint="eastAsia" w:ascii="Times New Roman" w:hAnsi="Times New Roman" w:eastAsia="仿宋_GB2312" w:cs="Times New Roman"/>
          <w:sz w:val="30"/>
          <w:szCs w:val="30"/>
          <w:highlight w:val="none"/>
          <w:lang w:eastAsia="zh-CN"/>
        </w:rPr>
        <w:t>98.95</w:t>
      </w:r>
      <w:r>
        <w:rPr>
          <w:rFonts w:hint="eastAsia" w:ascii="Times New Roman" w:hAnsi="Times New Roman" w:eastAsia="宋体" w:cs="Times New Roman"/>
          <w:sz w:val="30"/>
          <w:szCs w:val="30"/>
          <w:highlight w:val="none"/>
          <w:lang w:eastAsia="zh-CN"/>
        </w:rPr>
        <w:t>%；</w:t>
      </w:r>
      <w:r>
        <w:rPr>
          <w:rFonts w:ascii="Times New Roman" w:hAnsi="Times New Roman" w:eastAsia="仿宋_GB2312" w:cs="仿宋_GB2312"/>
          <w:sz w:val="30"/>
          <w:szCs w:val="30"/>
          <w:highlight w:val="none"/>
          <w:lang w:val="zh-CN"/>
        </w:rPr>
        <w:t>政府性基金预算财政拨款收入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国有资本经营预算财政拨款收入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财政专户管理资金收入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事业收入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事业单位经营收入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上级补助收入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eastAsia="仿宋_GB2312"/>
          <w:sz w:val="30"/>
          <w:szCs w:val="30"/>
          <w:highlight w:val="none"/>
        </w:rPr>
        <w:t>附属单位上缴收入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其他收入</w:t>
      </w:r>
      <w:r>
        <w:rPr>
          <w:rFonts w:hint="eastAsia" w:ascii="Times New Roman" w:hAnsi="Times New Roman" w:eastAsia="仿宋_GB2312" w:cs="仿宋_GB2312"/>
          <w:sz w:val="30"/>
          <w:szCs w:val="30"/>
          <w:highlight w:val="none"/>
          <w:lang w:val="zh-CN"/>
        </w:rPr>
        <w:t>47,001.00元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1.05%</w:t>
      </w:r>
      <w:r>
        <w:rPr>
          <w:rFonts w:hint="eastAsia" w:ascii="Times New Roman" w:hAnsi="Times New Roman" w:eastAsia="仿宋_GB2312" w:cs="仿宋_GB2312"/>
          <w:sz w:val="30"/>
          <w:szCs w:val="30"/>
          <w:highlight w:val="none"/>
          <w:lang w:val="zh-CN" w:eastAsia="zh-CN"/>
        </w:rPr>
        <w:t>。</w:t>
      </w:r>
    </w:p>
    <w:p w14:paraId="7B91C582">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三、支出</w:t>
      </w:r>
      <w:r>
        <w:rPr>
          <w:rFonts w:hint="eastAsia" w:ascii="Times New Roman" w:hAnsi="Times New Roman" w:eastAsia="黑体" w:cs="黑体"/>
          <w:b/>
          <w:bCs/>
          <w:kern w:val="0"/>
          <w:sz w:val="30"/>
          <w:szCs w:val="30"/>
          <w:highlight w:val="none"/>
        </w:rPr>
        <w:t>决算情况说明</w:t>
      </w:r>
    </w:p>
    <w:p w14:paraId="2A367B4F">
      <w:pPr>
        <w:autoSpaceDE w:val="0"/>
        <w:autoSpaceDN w:val="0"/>
        <w:adjustRightInd w:val="0"/>
        <w:spacing w:line="580" w:lineRule="exact"/>
        <w:ind w:firstLine="600"/>
        <w:jc w:val="left"/>
        <w:rPr>
          <w:rFonts w:ascii="Times New Roman" w:hAnsi="Times New Roman" w:eastAsia="黑体" w:cs="黑体"/>
          <w:sz w:val="30"/>
          <w:szCs w:val="30"/>
          <w:highlight w:val="none"/>
          <w:lang w:val="zh-CN"/>
        </w:rPr>
      </w:pPr>
      <w:r>
        <w:rPr>
          <w:rFonts w:hint="eastAsia" w:ascii="Times New Roman" w:hAnsi="Times New Roman" w:eastAsia="仿宋_GB2312" w:cs="仿宋_GB2312"/>
          <w:sz w:val="30"/>
          <w:szCs w:val="30"/>
          <w:highlight w:val="none"/>
          <w:lang w:eastAsia="zh-CN"/>
        </w:rPr>
        <w:t>天津市蓟州区东施古镇西施古中心小学</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年度本年支出合计</w:t>
      </w:r>
      <w:r>
        <w:rPr>
          <w:rFonts w:hint="eastAsia" w:ascii="Times New Roman" w:hAnsi="Times New Roman" w:eastAsia="仿宋_GB2312" w:cs="仿宋_GB2312"/>
          <w:sz w:val="30"/>
          <w:szCs w:val="30"/>
          <w:highlight w:val="none"/>
          <w:lang w:eastAsia="zh-CN"/>
        </w:rPr>
        <w:t>4,481,101.71</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sz w:val="30"/>
          <w:szCs w:val="30"/>
          <w:highlight w:val="none"/>
          <w:lang w:eastAsia="zh-CN"/>
        </w:rPr>
        <w:t>322,881.81</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sz w:val="30"/>
          <w:szCs w:val="30"/>
          <w:highlight w:val="none"/>
          <w:lang w:val="zh-CN"/>
        </w:rPr>
        <w:t>主要原因是</w:t>
      </w:r>
      <w:r>
        <w:rPr>
          <w:rFonts w:hint="eastAsia" w:ascii="Times New Roman" w:hAnsi="Times New Roman" w:eastAsia="仿宋_GB2312" w:cs="仿宋_GB2312"/>
          <w:sz w:val="30"/>
          <w:szCs w:val="30"/>
          <w:highlight w:val="none"/>
        </w:rPr>
        <w:t>：</w:t>
      </w:r>
      <w:r>
        <w:rPr>
          <w:rFonts w:hint="eastAsia" w:ascii="Times New Roman" w:hAnsi="Times New Roman" w:eastAsia="仿宋_GB2312" w:cs="仿宋_GB2312"/>
          <w:kern w:val="0"/>
          <w:sz w:val="30"/>
          <w:szCs w:val="30"/>
          <w:highlight w:val="none"/>
          <w:lang w:eastAsia="zh-CN"/>
        </w:rPr>
        <w:t>教职工人员调整人员经费减少，校园保安经费减少，公用经费减少，缺少课后服务经费。</w:t>
      </w:r>
      <w:r>
        <w:rPr>
          <w:rFonts w:hint="eastAsia" w:ascii="Times New Roman" w:hAnsi="Times New Roman" w:eastAsia="仿宋_GB2312" w:cs="仿宋_GB2312"/>
          <w:sz w:val="30"/>
          <w:szCs w:val="30"/>
          <w:highlight w:val="none"/>
        </w:rPr>
        <w:t>其中：</w:t>
      </w:r>
      <w:r>
        <w:rPr>
          <w:rFonts w:ascii="Times New Roman" w:hAnsi="Times New Roman" w:eastAsia="仿宋_GB2312" w:cs="仿宋_GB2312"/>
          <w:sz w:val="30"/>
          <w:szCs w:val="30"/>
          <w:highlight w:val="none"/>
        </w:rPr>
        <w:t>基本支出</w:t>
      </w:r>
      <w:r>
        <w:rPr>
          <w:rFonts w:hint="eastAsia" w:ascii="Times New Roman" w:hAnsi="Times New Roman" w:eastAsia="仿宋_GB2312" w:cs="仿宋_GB2312"/>
          <w:sz w:val="30"/>
          <w:szCs w:val="30"/>
          <w:highlight w:val="none"/>
          <w:lang w:eastAsia="zh-CN"/>
        </w:rPr>
        <w:t>4,481,101.71元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w:t>
      </w:r>
      <w:r>
        <w:rPr>
          <w:rFonts w:hint="eastAsia" w:ascii="Times New Roman" w:hAnsi="Times New Roman" w:eastAsia="仿宋_GB2312" w:cs="仿宋_GB2312"/>
          <w:sz w:val="30"/>
          <w:szCs w:val="30"/>
          <w:highlight w:val="none"/>
          <w:lang w:val="en-US" w:eastAsia="zh-CN"/>
        </w:rPr>
        <w:t>100.0</w:t>
      </w:r>
      <w:r>
        <w:rPr>
          <w:rFonts w:hint="eastAsia" w:ascii="Times New Roman" w:hAnsi="Times New Roman" w:eastAsia="仿宋_GB2312" w:cs="仿宋_GB2312"/>
          <w:sz w:val="30"/>
          <w:szCs w:val="30"/>
          <w:highlight w:val="none"/>
          <w:lang w:eastAsia="zh-CN"/>
        </w:rPr>
        <w:t>%；</w:t>
      </w:r>
      <w:r>
        <w:rPr>
          <w:rFonts w:ascii="Times New Roman" w:hAnsi="Times New Roman" w:eastAsia="仿宋_GB2312" w:cs="仿宋_GB2312"/>
          <w:sz w:val="30"/>
          <w:szCs w:val="30"/>
          <w:highlight w:val="none"/>
        </w:rPr>
        <w:t>项目支出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r>
        <w:rPr>
          <w:rFonts w:ascii="Times New Roman" w:hAnsi="Times New Roman" w:eastAsia="仿宋_GB2312" w:cs="仿宋_GB2312"/>
          <w:sz w:val="30"/>
          <w:szCs w:val="30"/>
          <w:highlight w:val="none"/>
        </w:rPr>
        <w:t>上缴上级支出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r>
        <w:rPr>
          <w:rFonts w:ascii="Times New Roman" w:hAnsi="Times New Roman" w:eastAsia="仿宋_GB2312" w:cs="仿宋_GB2312"/>
          <w:sz w:val="30"/>
          <w:szCs w:val="30"/>
          <w:highlight w:val="none"/>
        </w:rPr>
        <w:t>经营支出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r>
        <w:rPr>
          <w:rFonts w:ascii="Times New Roman" w:hAnsi="Times New Roman" w:eastAsia="仿宋_GB2312" w:cs="仿宋_GB2312"/>
          <w:sz w:val="30"/>
          <w:szCs w:val="30"/>
          <w:highlight w:val="none"/>
        </w:rPr>
        <w:t>对附属单位补助支出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p>
    <w:p w14:paraId="172162E4">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四、财政拨款收支决算总体情况说明</w:t>
      </w:r>
    </w:p>
    <w:p w14:paraId="560116F8">
      <w:pPr>
        <w:autoSpaceDE w:val="0"/>
        <w:autoSpaceDN w:val="0"/>
        <w:adjustRightInd w:val="0"/>
        <w:spacing w:line="580" w:lineRule="exact"/>
        <w:ind w:firstLine="600"/>
        <w:jc w:val="left"/>
        <w:rPr>
          <w:rFonts w:ascii="Times New Roman" w:hAnsi="Times New Roman" w:eastAsia="仿宋_GB2312" w:cs="仿宋_GB2312"/>
          <w:sz w:val="30"/>
          <w:szCs w:val="30"/>
          <w:highlight w:val="none"/>
        </w:rPr>
      </w:pPr>
      <w:r>
        <w:rPr>
          <w:rFonts w:hint="eastAsia" w:ascii="Times New Roman" w:hAnsi="Times New Roman" w:eastAsia="仿宋_GB2312" w:cs="仿宋_GB2312"/>
          <w:sz w:val="30"/>
          <w:szCs w:val="30"/>
          <w:highlight w:val="none"/>
          <w:lang w:eastAsia="zh-CN"/>
        </w:rPr>
        <w:t>天津市蓟州区东施古镇西施古中心小学</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年度财政拨款收入、支出决算总计</w:t>
      </w:r>
      <w:r>
        <w:rPr>
          <w:rFonts w:hint="eastAsia" w:ascii="Times New Roman" w:hAnsi="Times New Roman" w:eastAsia="仿宋_GB2312" w:cs="Times New Roman"/>
          <w:sz w:val="30"/>
          <w:szCs w:val="30"/>
          <w:highlight w:val="none"/>
          <w:lang w:val="zh-CN"/>
        </w:rPr>
        <w:t>4,434,100.71</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年度相比，财政拨款收、支总计各</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sz w:val="30"/>
          <w:szCs w:val="30"/>
          <w:highlight w:val="none"/>
          <w:lang w:eastAsia="zh-CN"/>
        </w:rPr>
        <w:t>325,385.31</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sz w:val="30"/>
          <w:szCs w:val="30"/>
          <w:highlight w:val="none"/>
          <w:lang w:val="en-US" w:eastAsia="zh-CN"/>
        </w:rPr>
        <w:t>下降</w:t>
      </w:r>
      <w:r>
        <w:rPr>
          <w:rFonts w:hint="eastAsia" w:ascii="Times New Roman" w:hAnsi="Times New Roman" w:eastAsia="仿宋_GB2312" w:cs="仿宋_GB2312"/>
          <w:sz w:val="30"/>
          <w:szCs w:val="30"/>
          <w:highlight w:val="none"/>
          <w:lang w:eastAsia="zh-CN"/>
        </w:rPr>
        <w:t>6.84</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val="zh-CN"/>
        </w:rPr>
        <w:t>主要原因是：</w:t>
      </w:r>
      <w:r>
        <w:rPr>
          <w:rFonts w:hint="eastAsia" w:ascii="Times New Roman" w:hAnsi="Times New Roman" w:eastAsia="仿宋_GB2312" w:cs="仿宋_GB2312"/>
          <w:sz w:val="30"/>
          <w:szCs w:val="30"/>
          <w:highlight w:val="none"/>
          <w:lang w:eastAsia="zh-CN"/>
        </w:rPr>
        <w:t>教职工人员调整人员经费减少，校园保安经费减少，公用经费减少，缺少课后服务经费。</w:t>
      </w:r>
    </w:p>
    <w:p w14:paraId="12857B58">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五、一般公共预算财政拨款支出决算情况说明</w:t>
      </w:r>
    </w:p>
    <w:p w14:paraId="4AE0DD02">
      <w:pPr>
        <w:autoSpaceDE w:val="0"/>
        <w:autoSpaceDN w:val="0"/>
        <w:adjustRightInd w:val="0"/>
        <w:spacing w:line="600" w:lineRule="exact"/>
        <w:ind w:left="480"/>
        <w:jc w:val="left"/>
        <w:rPr>
          <w:rFonts w:hint="eastAsia"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（一）总体情况</w:t>
      </w:r>
    </w:p>
    <w:p w14:paraId="40FAFBDC">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天津市蓟州区东施古镇西施古中心小学2023年度部门决算一般公共预算财政拨款支出</w:t>
      </w:r>
      <w:r>
        <w:rPr>
          <w:rFonts w:hint="eastAsia" w:ascii="Times New Roman" w:hAnsi="Times New Roman" w:eastAsia="仿宋_GB2312" w:cs="仿宋_GB2312"/>
          <w:sz w:val="30"/>
          <w:szCs w:val="30"/>
          <w:highlight w:val="none"/>
          <w:lang w:val="zh-CN" w:eastAsia="zh-CN"/>
        </w:rPr>
        <w:t>合</w:t>
      </w:r>
      <w:r>
        <w:rPr>
          <w:rFonts w:hint="eastAsia" w:ascii="Times New Roman" w:hAnsi="Times New Roman" w:eastAsia="仿宋_GB2312" w:cs="仿宋_GB2312"/>
          <w:sz w:val="30"/>
          <w:szCs w:val="30"/>
          <w:highlight w:val="none"/>
          <w:lang w:eastAsia="zh-CN"/>
        </w:rPr>
        <w:t>计4,434,100.71元，占本年支出合计的98.95%，与2022年度相比，一般公共预算财政拨款支出</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sz w:val="30"/>
          <w:szCs w:val="30"/>
          <w:highlight w:val="none"/>
          <w:lang w:eastAsia="zh-CN"/>
        </w:rPr>
        <w:t>325,385.31元，</w:t>
      </w:r>
      <w:r>
        <w:rPr>
          <w:rFonts w:hint="eastAsia" w:ascii="Times New Roman" w:hAnsi="Times New Roman" w:eastAsia="仿宋_GB2312" w:cs="仿宋_GB2312"/>
          <w:sz w:val="30"/>
          <w:szCs w:val="30"/>
          <w:highlight w:val="none"/>
          <w:lang w:val="en-US" w:eastAsia="zh-CN"/>
        </w:rPr>
        <w:t>下降</w:t>
      </w:r>
      <w:r>
        <w:rPr>
          <w:rFonts w:hint="eastAsia" w:ascii="Times New Roman" w:hAnsi="Times New Roman" w:eastAsia="仿宋_GB2312" w:cs="仿宋_GB2312"/>
          <w:sz w:val="30"/>
          <w:szCs w:val="30"/>
          <w:highlight w:val="none"/>
          <w:lang w:eastAsia="zh-CN"/>
        </w:rPr>
        <w:t>6.84%，</w:t>
      </w:r>
      <w:r>
        <w:rPr>
          <w:rFonts w:hint="eastAsia" w:ascii="Times New Roman" w:hAnsi="Times New Roman" w:eastAsia="仿宋_GB2312" w:cs="仿宋_GB2312"/>
          <w:sz w:val="30"/>
          <w:szCs w:val="30"/>
          <w:highlight w:val="none"/>
          <w:lang w:val="zh-CN" w:eastAsia="zh-CN"/>
        </w:rPr>
        <w:t>主要原因是</w:t>
      </w:r>
      <w:r>
        <w:rPr>
          <w:rFonts w:hint="eastAsia" w:ascii="Times New Roman" w:hAnsi="Times New Roman" w:eastAsia="仿宋_GB2312" w:cs="仿宋_GB2312"/>
          <w:sz w:val="30"/>
          <w:szCs w:val="30"/>
          <w:highlight w:val="none"/>
          <w:lang w:eastAsia="zh-CN"/>
        </w:rPr>
        <w:t>：教职工人员调整人员经费减少，校园保安经费减少，公用经费减少，缺少课后服务经费。</w:t>
      </w:r>
    </w:p>
    <w:p w14:paraId="7C1D25DC">
      <w:pPr>
        <w:autoSpaceDE w:val="0"/>
        <w:autoSpaceDN w:val="0"/>
        <w:adjustRightInd w:val="0"/>
        <w:spacing w:line="600" w:lineRule="exact"/>
        <w:ind w:left="480"/>
        <w:jc w:val="left"/>
        <w:rPr>
          <w:rFonts w:hint="eastAsia"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（二）</w:t>
      </w:r>
      <w:r>
        <w:rPr>
          <w:rFonts w:hint="eastAsia" w:ascii="Times New Roman" w:hAnsi="Times New Roman" w:eastAsia="楷体" w:cs="楷体"/>
          <w:b/>
          <w:bCs/>
          <w:kern w:val="0"/>
          <w:sz w:val="30"/>
          <w:szCs w:val="30"/>
          <w:highlight w:val="none"/>
          <w:lang w:val="zh-CN"/>
        </w:rPr>
        <w:t>支出结构</w:t>
      </w:r>
      <w:r>
        <w:rPr>
          <w:rFonts w:hint="eastAsia" w:ascii="Times New Roman" w:hAnsi="Times New Roman" w:eastAsia="楷体" w:cs="楷体"/>
          <w:b/>
          <w:bCs/>
          <w:kern w:val="0"/>
          <w:sz w:val="30"/>
          <w:szCs w:val="30"/>
          <w:highlight w:val="none"/>
        </w:rPr>
        <w:t>情况</w:t>
      </w:r>
    </w:p>
    <w:p w14:paraId="2CF91D74">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2023</w:t>
      </w:r>
      <w:r>
        <w:rPr>
          <w:rFonts w:hint="eastAsia" w:ascii="Times New Roman" w:hAnsi="Times New Roman" w:eastAsia="仿宋_GB2312" w:cs="仿宋_GB2312"/>
          <w:sz w:val="30"/>
          <w:szCs w:val="30"/>
          <w:highlight w:val="none"/>
        </w:rPr>
        <w:t>年度一般公共预算财政拨款支出</w:t>
      </w:r>
      <w:r>
        <w:rPr>
          <w:rFonts w:hint="eastAsia" w:ascii="Times New Roman" w:hAnsi="Times New Roman" w:eastAsia="仿宋_GB2312" w:cs="Times New Roman"/>
          <w:sz w:val="30"/>
          <w:szCs w:val="30"/>
          <w:highlight w:val="none"/>
          <w:lang w:eastAsia="zh-CN"/>
        </w:rPr>
        <w:t>4,434,100.71</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rPr>
        <w:t>主要用于以下方面：</w:t>
      </w:r>
      <w:r>
        <w:rPr>
          <w:rFonts w:hint="eastAsia" w:ascii="Times New Roman" w:hAnsi="Times New Roman" w:eastAsia="仿宋_GB2312" w:cs="仿宋_GB2312"/>
          <w:sz w:val="30"/>
          <w:szCs w:val="30"/>
          <w:highlight w:val="none"/>
          <w:lang w:eastAsia="zh-CN"/>
        </w:rPr>
        <w:t>教育支出（类）3</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748</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100.79元，占86.94%；社会保障和就业支出（类）485</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479.68元，占9.22%；卫生健康支出（类）200</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520.24元，占3.84%。</w:t>
      </w:r>
    </w:p>
    <w:p w14:paraId="7169938A">
      <w:pPr>
        <w:autoSpaceDE w:val="0"/>
        <w:autoSpaceDN w:val="0"/>
        <w:adjustRightInd w:val="0"/>
        <w:spacing w:line="600" w:lineRule="exact"/>
        <w:ind w:left="480"/>
        <w:jc w:val="left"/>
        <w:rPr>
          <w:rFonts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（三）具体情况</w:t>
      </w:r>
    </w:p>
    <w:p w14:paraId="2769E426">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lang w:eastAsia="zh-CN"/>
        </w:rPr>
        <w:t>2023</w:t>
      </w:r>
      <w:r>
        <w:rPr>
          <w:rFonts w:hint="eastAsia" w:ascii="Times New Roman" w:hAnsi="Times New Roman" w:eastAsia="仿宋_GB2312" w:cs="仿宋_GB2312"/>
          <w:kern w:val="0"/>
          <w:sz w:val="30"/>
          <w:szCs w:val="30"/>
          <w:highlight w:val="none"/>
        </w:rPr>
        <w:t>年度一般公共预算财政拨款支出年初预算为</w:t>
      </w:r>
      <w:r>
        <w:rPr>
          <w:rFonts w:hint="eastAsia" w:ascii="Times New Roman" w:hAnsi="Times New Roman" w:eastAsia="仿宋_GB2312" w:cs="Times New Roman"/>
          <w:sz w:val="30"/>
          <w:szCs w:val="30"/>
          <w:highlight w:val="none"/>
          <w:lang w:eastAsia="zh-CN"/>
        </w:rPr>
        <w:t>4,394,335.12</w:t>
      </w:r>
      <w:r>
        <w:rPr>
          <w:rFonts w:hint="eastAsia" w:ascii="Times New Roman" w:hAnsi="Times New Roman" w:eastAsia="仿宋_GB2312" w:cs="仿宋_GB2312"/>
          <w:kern w:val="0"/>
          <w:sz w:val="30"/>
          <w:szCs w:val="30"/>
          <w:highlight w:val="none"/>
        </w:rPr>
        <w:t>元，支出决算为</w:t>
      </w:r>
      <w:r>
        <w:rPr>
          <w:rFonts w:hint="eastAsia" w:ascii="Times New Roman" w:hAnsi="Times New Roman" w:eastAsia="仿宋_GB2312" w:cs="Times New Roman"/>
          <w:sz w:val="30"/>
          <w:szCs w:val="30"/>
          <w:highlight w:val="none"/>
          <w:lang w:eastAsia="zh-CN"/>
        </w:rPr>
        <w:t>4,434,100.71</w:t>
      </w:r>
      <w:r>
        <w:rPr>
          <w:rFonts w:hint="eastAsia" w:ascii="Times New Roman" w:hAnsi="Times New Roman" w:eastAsia="仿宋_GB2312" w:cs="仿宋_GB2312"/>
          <w:kern w:val="0"/>
          <w:sz w:val="30"/>
          <w:szCs w:val="30"/>
          <w:highlight w:val="none"/>
        </w:rPr>
        <w:t>元，完成年初预算的</w:t>
      </w:r>
      <w:r>
        <w:rPr>
          <w:rFonts w:hint="eastAsia" w:ascii="Times New Roman" w:hAnsi="Times New Roman" w:eastAsia="仿宋_GB2312" w:cs="Times New Roman"/>
          <w:sz w:val="30"/>
          <w:szCs w:val="30"/>
          <w:highlight w:val="none"/>
          <w:lang w:eastAsia="zh-CN"/>
        </w:rPr>
        <w:t>100.9%</w:t>
      </w:r>
      <w:r>
        <w:rPr>
          <w:rFonts w:hint="eastAsia" w:ascii="Times New Roman" w:hAnsi="Times New Roman" w:eastAsia="仿宋_GB2312" w:cs="仿宋_GB2312"/>
          <w:kern w:val="0"/>
          <w:sz w:val="30"/>
          <w:szCs w:val="30"/>
          <w:highlight w:val="none"/>
        </w:rPr>
        <w:t>。其中：</w:t>
      </w:r>
    </w:p>
    <w:p w14:paraId="4A37DD5D">
      <w:p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sz w:val="30"/>
          <w:szCs w:val="30"/>
          <w:highlight w:val="none"/>
          <w:lang w:eastAsia="zh-CN"/>
        </w:rPr>
        <w:t xml:space="preserve">1. </w:t>
      </w:r>
      <w:r>
        <w:rPr>
          <w:rFonts w:hint="eastAsia" w:ascii="Times New Roman" w:hAnsi="Times New Roman" w:eastAsia="仿宋_GB2312" w:cs="仿宋_GB2312"/>
          <w:sz w:val="30"/>
          <w:szCs w:val="30"/>
        </w:rPr>
        <w:t>教育支出（类）普通教育支出（款）小学教育（项）</w:t>
      </w:r>
      <w:r>
        <w:rPr>
          <w:rFonts w:hint="eastAsia" w:ascii="Times New Roman" w:hAnsi="Times New Roman" w:eastAsia="仿宋_GB2312" w:cs="仿宋_GB2312"/>
          <w:sz w:val="30"/>
          <w:szCs w:val="30"/>
          <w:highlight w:val="none"/>
          <w:lang w:eastAsia="zh-CN"/>
        </w:rPr>
        <w:t>年初预算为3</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697</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956.64元，支出决算为3</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748</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100.79元，完成年初预算的101.36%，决算数大于年初预算数的主要原因是基本工资调标，人员工资增加，增加基础性绩效，发放2022年一次性绩效奖励考评奖。</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 xml:space="preserve">2. </w:t>
      </w:r>
      <w:r>
        <w:rPr>
          <w:rFonts w:hint="eastAsia" w:ascii="Times New Roman" w:hAnsi="Times New Roman" w:eastAsia="仿宋_GB2312" w:cs="仿宋_GB2312"/>
          <w:sz w:val="30"/>
          <w:szCs w:val="30"/>
        </w:rPr>
        <w:t>社会保障和就业支出（类）行政事业单位养老支出（款）机关事业单位基本养老保险缴费支出（项）</w:t>
      </w:r>
      <w:r>
        <w:rPr>
          <w:rFonts w:hint="eastAsia" w:ascii="Times New Roman" w:hAnsi="Times New Roman" w:eastAsia="仿宋_GB2312" w:cs="仿宋_GB2312"/>
          <w:sz w:val="30"/>
          <w:szCs w:val="30"/>
          <w:highlight w:val="none"/>
          <w:lang w:eastAsia="zh-CN"/>
        </w:rPr>
        <w:t>年初预算为491</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561.28元，支出决算为485</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479.68元，完成年初预算的98.76%，决算数小于年初预算数的主要原因是人员工资减少导致社保和职业年金减少。</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 xml:space="preserve">3. </w:t>
      </w:r>
      <w:r>
        <w:rPr>
          <w:rFonts w:hint="eastAsia" w:ascii="Times New Roman" w:hAnsi="Times New Roman" w:eastAsia="仿宋_GB2312" w:cs="仿宋_GB2312"/>
          <w:sz w:val="30"/>
          <w:szCs w:val="30"/>
        </w:rPr>
        <w:t>社会保障和就业支出（类）行政事业单位养老支出（款）机关事业单位职业年金缴费支出（项）</w:t>
      </w:r>
      <w:r>
        <w:rPr>
          <w:rFonts w:hint="eastAsia" w:ascii="Times New Roman" w:hAnsi="Times New Roman" w:eastAsia="仿宋_GB2312" w:cs="仿宋_GB2312"/>
          <w:sz w:val="30"/>
          <w:szCs w:val="30"/>
          <w:highlight w:val="none"/>
          <w:lang w:eastAsia="zh-CN"/>
        </w:rPr>
        <w:t>年初预算为163</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853.76元，支出决算为161</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826.56元，完成年初预算的98.76%，决算数小于年初预算数的主要原因是人员工资减少导致职业年金减少。</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4</w:t>
      </w:r>
      <w:r>
        <w:rPr>
          <w:rFonts w:hint="eastAsia" w:ascii="Times New Roman" w:hAnsi="Times New Roman" w:eastAsia="仿宋_GB2312" w:cs="仿宋_GB2312"/>
          <w:sz w:val="30"/>
          <w:szCs w:val="30"/>
          <w:highlight w:val="none"/>
          <w:lang w:eastAsia="zh-CN"/>
        </w:rPr>
        <w:t>.</w:t>
      </w:r>
      <w:r>
        <w:rPr>
          <w:rFonts w:hint="eastAsia" w:ascii="Times New Roman" w:hAnsi="Times New Roman" w:eastAsia="仿宋_GB2312" w:cs="仿宋_GB2312"/>
          <w:sz w:val="30"/>
          <w:szCs w:val="30"/>
        </w:rPr>
        <w:t>卫生健康支出（类）行政事业单位医疗支出（款）行政单位医疗（项）</w:t>
      </w:r>
      <w:r>
        <w:rPr>
          <w:rFonts w:hint="eastAsia" w:ascii="Times New Roman" w:hAnsi="Times New Roman" w:eastAsia="仿宋_GB2312" w:cs="仿宋_GB2312"/>
          <w:sz w:val="30"/>
          <w:szCs w:val="30"/>
          <w:highlight w:val="none"/>
          <w:lang w:eastAsia="zh-CN"/>
        </w:rPr>
        <w:t>年初预算为204</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817.2元，支出决算为200</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520.24元，完成年初预算的98.75%，决算数小于年初预算数的主要原因是在职人员缴费减少。</w:t>
      </w:r>
    </w:p>
    <w:p w14:paraId="224194A0">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六、一般公共预算财政拨款基本支出决算情况说明</w:t>
      </w:r>
    </w:p>
    <w:p w14:paraId="0F66C98A">
      <w:pPr>
        <w:autoSpaceDE w:val="0"/>
        <w:autoSpaceDN w:val="0"/>
        <w:adjustRightInd w:val="0"/>
        <w:spacing w:line="600" w:lineRule="exact"/>
        <w:ind w:firstLine="72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天津市蓟州区东施古镇西施古中心小学</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年度部门决算一般公共预算财政拨款基本支出合计</w:t>
      </w:r>
      <w:r>
        <w:rPr>
          <w:rFonts w:hint="eastAsia" w:ascii="Times New Roman" w:hAnsi="Times New Roman" w:eastAsia="仿宋_GB2312" w:cs="Times New Roman"/>
          <w:sz w:val="30"/>
          <w:szCs w:val="30"/>
          <w:highlight w:val="none"/>
          <w:lang w:eastAsia="zh-CN"/>
        </w:rPr>
        <w:t>4,434,100.71</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sz w:val="30"/>
          <w:szCs w:val="30"/>
          <w:highlight w:val="none"/>
          <w:lang w:eastAsia="zh-CN"/>
        </w:rPr>
        <w:t>325,385.31</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rPr>
        <w:t>主要原因是</w:t>
      </w:r>
      <w:r>
        <w:rPr>
          <w:rFonts w:hint="eastAsia" w:ascii="Times New Roman" w:hAnsi="Times New Roman" w:eastAsia="楷体_GB2312" w:cs="楷体_GB2312"/>
          <w:sz w:val="30"/>
          <w:szCs w:val="30"/>
          <w:highlight w:val="none"/>
        </w:rPr>
        <w:t>：</w:t>
      </w:r>
      <w:r>
        <w:rPr>
          <w:rFonts w:hint="eastAsia" w:ascii="Times New Roman" w:hAnsi="Times New Roman" w:eastAsia="仿宋_GB2312" w:cs="仿宋_GB2312"/>
          <w:sz w:val="30"/>
          <w:szCs w:val="30"/>
          <w:highlight w:val="none"/>
          <w:lang w:eastAsia="zh-CN"/>
        </w:rPr>
        <w:t>教职工人员调整人员经费减少，校园 保安经费减少，公用经费减少，缺少课后服务经费。</w:t>
      </w:r>
      <w:r>
        <w:rPr>
          <w:rFonts w:hint="eastAsia" w:ascii="Times New Roman" w:hAnsi="Times New Roman" w:eastAsia="仿宋_GB2312" w:cs="仿宋_GB2312"/>
          <w:kern w:val="0"/>
          <w:sz w:val="30"/>
          <w:szCs w:val="30"/>
          <w:highlight w:val="none"/>
        </w:rPr>
        <w:t>其中：</w:t>
      </w:r>
    </w:p>
    <w:p w14:paraId="79C6C3CE">
      <w:p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kern w:val="0"/>
          <w:sz w:val="30"/>
          <w:szCs w:val="30"/>
          <w:highlight w:val="none"/>
        </w:rPr>
        <w:t>人员经费</w:t>
      </w:r>
      <w:r>
        <w:rPr>
          <w:rFonts w:hint="eastAsia" w:ascii="Times New Roman" w:hAnsi="Times New Roman" w:eastAsia="仿宋_GB2312" w:cs="Times New Roman"/>
          <w:sz w:val="30"/>
          <w:szCs w:val="30"/>
          <w:highlight w:val="none"/>
          <w:lang w:eastAsia="zh-CN"/>
        </w:rPr>
        <w:t>4,141,059.57</w:t>
      </w:r>
      <w:r>
        <w:rPr>
          <w:rFonts w:hint="eastAsia" w:ascii="Times New Roman" w:hAnsi="Times New Roman" w:eastAsia="仿宋_GB2312" w:cs="仿宋_GB2312"/>
          <w:kern w:val="0"/>
          <w:sz w:val="30"/>
          <w:szCs w:val="30"/>
          <w:highlight w:val="none"/>
        </w:rPr>
        <w:t>元，主要包括</w:t>
      </w:r>
      <w:r>
        <w:rPr>
          <w:rFonts w:hint="eastAsia" w:ascii="Times New Roman" w:hAnsi="Times New Roman" w:eastAsia="仿宋_GB2312" w:cs="仿宋_GB2312"/>
          <w:sz w:val="30"/>
          <w:szCs w:val="30"/>
          <w:highlight w:val="none"/>
          <w:lang w:eastAsia="zh-CN"/>
        </w:rPr>
        <w:t>基本工资、津贴补贴、绩效工资、机关事业单位基本养老保险缴费、职业年金缴费、职工基本医疗保险缴费、其他社会保障缴费、住房公积金、其他工资福利支出、退休费、抚恤金、生活补助。</w:t>
      </w:r>
    </w:p>
    <w:p w14:paraId="581222DE">
      <w:p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kern w:val="0"/>
          <w:sz w:val="30"/>
          <w:szCs w:val="30"/>
          <w:highlight w:val="none"/>
        </w:rPr>
        <w:t>公用经费</w:t>
      </w:r>
      <w:r>
        <w:rPr>
          <w:rFonts w:hint="eastAsia" w:ascii="Times New Roman" w:hAnsi="Times New Roman" w:eastAsia="仿宋_GB2312" w:cs="Times New Roman"/>
          <w:sz w:val="30"/>
          <w:szCs w:val="30"/>
          <w:highlight w:val="none"/>
          <w:lang w:eastAsia="zh-CN"/>
        </w:rPr>
        <w:t>293,041.14</w:t>
      </w:r>
      <w:r>
        <w:rPr>
          <w:rFonts w:hint="eastAsia" w:ascii="Times New Roman" w:hAnsi="Times New Roman" w:eastAsia="仿宋_GB2312" w:cs="仿宋_GB2312"/>
          <w:kern w:val="0"/>
          <w:sz w:val="30"/>
          <w:szCs w:val="30"/>
          <w:highlight w:val="none"/>
        </w:rPr>
        <w:t>元，主要包括</w:t>
      </w:r>
      <w:r>
        <w:rPr>
          <w:rFonts w:hint="eastAsia" w:ascii="Times New Roman" w:hAnsi="Times New Roman" w:eastAsia="仿宋_GB2312" w:cs="仿宋_GB2312"/>
          <w:sz w:val="30"/>
          <w:szCs w:val="30"/>
          <w:highlight w:val="none"/>
          <w:lang w:eastAsia="zh-CN"/>
        </w:rPr>
        <w:t>办公费、电费、取暖费、物业管理费、差旅费、维修(护)费、培训费。</w:t>
      </w:r>
    </w:p>
    <w:p w14:paraId="30F2C2A8">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七、政府性基金预算财政拨款收支决算情况</w:t>
      </w:r>
    </w:p>
    <w:p w14:paraId="46ADC30D">
      <w:pPr>
        <w:autoSpaceDE w:val="0"/>
        <w:autoSpaceDN w:val="0"/>
        <w:adjustRightInd w:val="0"/>
        <w:spacing w:line="600" w:lineRule="exact"/>
        <w:ind w:firstLine="600"/>
        <w:jc w:val="left"/>
        <w:rPr>
          <w:rFonts w:hint="default" w:ascii="Times New Roman" w:hAnsi="Times New Roman" w:eastAsia="楷体" w:cs="楷体"/>
          <w:kern w:val="0"/>
          <w:sz w:val="30"/>
          <w:szCs w:val="30"/>
          <w:highlight w:val="none"/>
          <w:lang w:val="en-US"/>
        </w:rPr>
      </w:pPr>
      <w:r>
        <w:rPr>
          <w:rFonts w:hint="eastAsia" w:ascii="Times New Roman" w:hAnsi="Times New Roman" w:eastAsia="仿宋_GB2312" w:cs="仿宋_GB2312"/>
          <w:sz w:val="30"/>
          <w:szCs w:val="30"/>
          <w:highlight w:val="none"/>
          <w:lang w:eastAsia="zh-CN"/>
        </w:rPr>
        <w:t>天津市蓟州区东施古镇西施古中心小学2023年度无政府性基金预算财政拨款收入、支出和结转结余</w:t>
      </w:r>
      <w:r>
        <w:rPr>
          <w:rFonts w:hint="eastAsia" w:ascii="Times New Roman" w:hAnsi="Times New Roman" w:eastAsia="仿宋_GB2312" w:cs="仿宋_GB2312"/>
          <w:sz w:val="30"/>
          <w:szCs w:val="30"/>
          <w:highlight w:val="none"/>
          <w:lang w:val="en-US" w:eastAsia="zh-CN"/>
        </w:rPr>
        <w:tab/>
      </w:r>
    </w:p>
    <w:p w14:paraId="7F8371EE">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八、国有资本经营预算财政拨款收支决算情况说明</w:t>
      </w:r>
    </w:p>
    <w:p w14:paraId="1A7BB87D">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天津市蓟州区东施古镇西施古中心小学2023年度无国有资本经营预算财政拨款收入、支出和结转结余。</w:t>
      </w:r>
    </w:p>
    <w:p w14:paraId="3469C022">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九、财政拨款</w:t>
      </w:r>
      <w:r>
        <w:rPr>
          <w:rFonts w:ascii="Times New Roman" w:hAnsi="Times New Roman" w:eastAsia="黑体" w:cs="黑体"/>
          <w:b/>
          <w:bCs/>
          <w:kern w:val="0"/>
          <w:sz w:val="30"/>
          <w:szCs w:val="30"/>
          <w:highlight w:val="none"/>
        </w:rPr>
        <w:t>“</w:t>
      </w:r>
      <w:r>
        <w:rPr>
          <w:rFonts w:hint="eastAsia" w:ascii="Times New Roman" w:hAnsi="Times New Roman" w:eastAsia="黑体" w:cs="黑体"/>
          <w:b/>
          <w:bCs/>
          <w:kern w:val="0"/>
          <w:sz w:val="30"/>
          <w:szCs w:val="30"/>
          <w:highlight w:val="none"/>
        </w:rPr>
        <w:t>三公</w:t>
      </w:r>
      <w:r>
        <w:rPr>
          <w:rFonts w:ascii="Times New Roman" w:hAnsi="Times New Roman" w:eastAsia="黑体" w:cs="黑体"/>
          <w:b/>
          <w:bCs/>
          <w:kern w:val="0"/>
          <w:sz w:val="30"/>
          <w:szCs w:val="30"/>
          <w:highlight w:val="none"/>
        </w:rPr>
        <w:t>”</w:t>
      </w:r>
      <w:r>
        <w:rPr>
          <w:rFonts w:hint="eastAsia" w:ascii="Times New Roman" w:hAnsi="Times New Roman" w:eastAsia="黑体" w:cs="黑体"/>
          <w:b/>
          <w:bCs/>
          <w:kern w:val="0"/>
          <w:sz w:val="30"/>
          <w:szCs w:val="30"/>
          <w:highlight w:val="none"/>
        </w:rPr>
        <w:t>经费</w:t>
      </w:r>
      <w:r>
        <w:rPr>
          <w:rFonts w:hint="eastAsia" w:ascii="Times New Roman" w:hAnsi="Times New Roman" w:eastAsia="黑体" w:cs="黑体"/>
          <w:b/>
          <w:bCs/>
          <w:kern w:val="0"/>
          <w:sz w:val="30"/>
          <w:szCs w:val="30"/>
          <w:highlight w:val="none"/>
          <w:lang w:val="zh-CN"/>
        </w:rPr>
        <w:t>支出决算</w:t>
      </w:r>
      <w:r>
        <w:rPr>
          <w:rFonts w:hint="eastAsia" w:ascii="Times New Roman" w:hAnsi="Times New Roman" w:eastAsia="黑体" w:cs="黑体"/>
          <w:b/>
          <w:bCs/>
          <w:kern w:val="0"/>
          <w:sz w:val="30"/>
          <w:szCs w:val="30"/>
          <w:highlight w:val="none"/>
        </w:rPr>
        <w:t>情况</w:t>
      </w:r>
    </w:p>
    <w:p w14:paraId="6F853C97">
      <w:pPr>
        <w:autoSpaceDE w:val="0"/>
        <w:autoSpaceDN w:val="0"/>
        <w:adjustRightInd w:val="0"/>
        <w:spacing w:line="600" w:lineRule="exact"/>
        <w:ind w:firstLine="602"/>
        <w:jc w:val="left"/>
        <w:rPr>
          <w:rFonts w:hint="default" w:ascii="Times New Roman" w:hAnsi="Times New Roman" w:eastAsia="楷体" w:cs="楷体"/>
          <w:b/>
          <w:bCs/>
          <w:kern w:val="0"/>
          <w:sz w:val="30"/>
          <w:szCs w:val="30"/>
          <w:highlight w:val="none"/>
          <w:lang w:val="en-US" w:eastAsia="zh-CN"/>
        </w:rPr>
      </w:pPr>
      <w:r>
        <w:rPr>
          <w:rFonts w:hint="eastAsia" w:ascii="Times New Roman" w:hAnsi="Times New Roman" w:eastAsia="楷体" w:cs="楷体"/>
          <w:b/>
          <w:bCs/>
          <w:kern w:val="0"/>
          <w:sz w:val="30"/>
          <w:szCs w:val="30"/>
          <w:highlight w:val="none"/>
        </w:rPr>
        <w:t>（一）总体情况</w:t>
      </w:r>
      <w:r>
        <w:rPr>
          <w:rFonts w:hint="eastAsia" w:ascii="Times New Roman" w:hAnsi="Times New Roman" w:eastAsia="楷体" w:cs="楷体"/>
          <w:b/>
          <w:bCs/>
          <w:kern w:val="0"/>
          <w:sz w:val="30"/>
          <w:szCs w:val="30"/>
          <w:highlight w:val="none"/>
          <w:lang w:val="en-US" w:eastAsia="zh-CN"/>
        </w:rPr>
        <w:tab/>
      </w:r>
      <w:r>
        <w:rPr>
          <w:rFonts w:hint="eastAsia" w:ascii="Times New Roman" w:hAnsi="Times New Roman" w:eastAsia="楷体" w:cs="楷体"/>
          <w:b/>
          <w:bCs/>
          <w:kern w:val="0"/>
          <w:sz w:val="30"/>
          <w:szCs w:val="30"/>
          <w:highlight w:val="none"/>
          <w:lang w:val="en-US" w:eastAsia="zh-CN"/>
        </w:rPr>
        <w:tab/>
      </w:r>
      <w:r>
        <w:rPr>
          <w:rFonts w:hint="eastAsia" w:ascii="Times New Roman" w:hAnsi="Times New Roman" w:eastAsia="楷体" w:cs="楷体"/>
          <w:b/>
          <w:bCs/>
          <w:kern w:val="0"/>
          <w:sz w:val="30"/>
          <w:szCs w:val="30"/>
          <w:highlight w:val="none"/>
          <w:lang w:val="en-US" w:eastAsia="zh-CN"/>
        </w:rPr>
        <w:tab/>
      </w:r>
      <w:r>
        <w:rPr>
          <w:rFonts w:hint="eastAsia" w:ascii="Times New Roman" w:hAnsi="Times New Roman" w:eastAsia="楷体" w:cs="楷体"/>
          <w:b/>
          <w:bCs/>
          <w:kern w:val="0"/>
          <w:sz w:val="30"/>
          <w:szCs w:val="30"/>
          <w:highlight w:val="none"/>
          <w:lang w:val="en-US" w:eastAsia="zh-CN"/>
        </w:rPr>
        <w:tab/>
      </w:r>
    </w:p>
    <w:p w14:paraId="68ACAF4A">
      <w:pPr>
        <w:autoSpaceDE w:val="0"/>
        <w:autoSpaceDN w:val="0"/>
        <w:adjustRightInd w:val="0"/>
        <w:spacing w:line="600" w:lineRule="exact"/>
        <w:ind w:firstLine="600"/>
        <w:jc w:val="left"/>
        <w:rPr>
          <w:rFonts w:hint="eastAsia" w:ascii="Times New Roman" w:hAnsi="Times New Roman" w:eastAsia="仿宋_GB2312" w:cs="Times New Roman"/>
          <w:kern w:val="0"/>
          <w:sz w:val="30"/>
          <w:szCs w:val="30"/>
          <w:highlight w:val="none"/>
          <w:lang w:eastAsia="zh-CN"/>
        </w:rPr>
      </w:pP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经费预算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元，与</w:t>
      </w: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年预算相比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等于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sz w:val="30"/>
          <w:szCs w:val="30"/>
        </w:rPr>
        <w:t>本年度未用财政拨款经费列支“三公”经费</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持平</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rPr>
        <w:t>本年度未用财政拨款经费列支“三公”经费</w:t>
      </w:r>
      <w:r>
        <w:rPr>
          <w:rFonts w:hint="eastAsia" w:ascii="Times New Roman" w:hAnsi="Times New Roman" w:eastAsia="仿宋_GB2312" w:cs="仿宋_GB2312"/>
          <w:sz w:val="30"/>
          <w:szCs w:val="30"/>
          <w:lang w:eastAsia="zh-CN"/>
        </w:rPr>
        <w:t>。</w:t>
      </w:r>
    </w:p>
    <w:p w14:paraId="014C1251">
      <w:pPr>
        <w:autoSpaceDE w:val="0"/>
        <w:autoSpaceDN w:val="0"/>
        <w:adjustRightInd w:val="0"/>
        <w:spacing w:line="600" w:lineRule="exact"/>
        <w:ind w:firstLine="602"/>
        <w:jc w:val="left"/>
        <w:rPr>
          <w:rFonts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（二）具体情况</w:t>
      </w:r>
    </w:p>
    <w:p w14:paraId="33EB8FA9">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lang w:eastAsia="zh-CN"/>
        </w:rPr>
      </w:pPr>
      <w:r>
        <w:rPr>
          <w:rFonts w:ascii="Times New Roman" w:hAnsi="Times New Roman" w:eastAsia="仿宋_GB2312" w:cs="仿宋_GB2312"/>
          <w:kern w:val="0"/>
          <w:sz w:val="30"/>
          <w:szCs w:val="30"/>
          <w:highlight w:val="none"/>
        </w:rPr>
        <w:t>1.</w:t>
      </w:r>
      <w:r>
        <w:rPr>
          <w:rFonts w:hint="eastAsia" w:ascii="Times New Roman" w:hAnsi="Times New Roman" w:eastAsia="仿宋_GB2312" w:cs="仿宋_GB2312"/>
          <w:kern w:val="0"/>
          <w:sz w:val="30"/>
          <w:szCs w:val="30"/>
          <w:highlight w:val="none"/>
        </w:rPr>
        <w:t>因公出国（境）费预算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等于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sz w:val="30"/>
          <w:szCs w:val="30"/>
        </w:rPr>
        <w:t>本年度未用财政拨款经费列支因公出国（境）费</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持平</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rPr>
        <w:t>本年度未用财政拨款经费列支因公出国（境）费</w:t>
      </w:r>
      <w:r>
        <w:rPr>
          <w:rFonts w:hint="eastAsia" w:ascii="Times New Roman" w:hAnsi="Times New Roman" w:eastAsia="仿宋_GB2312" w:cs="仿宋_GB2312"/>
          <w:sz w:val="30"/>
          <w:szCs w:val="30"/>
          <w:lang w:eastAsia="zh-CN"/>
        </w:rPr>
        <w:t>。</w:t>
      </w:r>
    </w:p>
    <w:p w14:paraId="20DE33BC">
      <w:pPr>
        <w:autoSpaceDE w:val="0"/>
        <w:autoSpaceDN w:val="0"/>
        <w:adjustRightInd w:val="0"/>
        <w:spacing w:line="600" w:lineRule="exact"/>
        <w:ind w:firstLine="600"/>
        <w:jc w:val="left"/>
        <w:rPr>
          <w:rFonts w:ascii="Times New Roman" w:hAnsi="Times New Roman" w:eastAsia="仿宋_GB2312" w:cs="Times New Roman"/>
          <w:kern w:val="0"/>
          <w:sz w:val="30"/>
          <w:szCs w:val="30"/>
          <w:highlight w:val="none"/>
        </w:rPr>
      </w:pP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年本单位组织的出国团组</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个，出国</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人次。</w:t>
      </w:r>
    </w:p>
    <w:p w14:paraId="67ABF15A">
      <w:pPr>
        <w:autoSpaceDE w:val="0"/>
        <w:autoSpaceDN w:val="0"/>
        <w:adjustRightInd w:val="0"/>
        <w:spacing w:line="600" w:lineRule="exact"/>
        <w:ind w:firstLine="600"/>
        <w:jc w:val="left"/>
        <w:rPr>
          <w:rFonts w:hint="eastAsia" w:ascii="Times New Roman" w:hAnsi="Times New Roman" w:eastAsia="仿宋_GB2312" w:cs="Times New Roman"/>
          <w:kern w:val="0"/>
          <w:sz w:val="30"/>
          <w:szCs w:val="30"/>
          <w:highlight w:val="none"/>
          <w:lang w:eastAsia="zh-CN"/>
        </w:rPr>
      </w:pPr>
      <w:r>
        <w:rPr>
          <w:rFonts w:ascii="Times New Roman" w:hAnsi="Times New Roman" w:eastAsia="仿宋_GB2312" w:cs="仿宋_GB2312"/>
          <w:kern w:val="0"/>
          <w:sz w:val="30"/>
          <w:szCs w:val="30"/>
          <w:highlight w:val="none"/>
        </w:rPr>
        <w:t>2.</w:t>
      </w:r>
      <w:r>
        <w:rPr>
          <w:rFonts w:hint="eastAsia" w:ascii="Times New Roman" w:hAnsi="Times New Roman" w:eastAsia="仿宋_GB2312" w:cs="仿宋_GB2312"/>
          <w:kern w:val="0"/>
          <w:sz w:val="30"/>
          <w:szCs w:val="30"/>
          <w:highlight w:val="none"/>
        </w:rPr>
        <w:t>公务用车购置及运行维护费预算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等于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sz w:val="30"/>
          <w:szCs w:val="30"/>
        </w:rPr>
        <w:t>本年度未用财政拨款经费列支公务用车购置及运行维护费</w:t>
      </w:r>
      <w:r>
        <w:rPr>
          <w:rFonts w:hint="eastAsia" w:ascii="Times New Roman" w:hAnsi="Times New Roman" w:eastAsia="仿宋_GB2312" w:cs="仿宋_GB2312"/>
          <w:kern w:val="0"/>
          <w:sz w:val="30"/>
          <w:szCs w:val="30"/>
          <w:highlight w:val="none"/>
          <w:lang w:eastAsia="zh-CN"/>
        </w:rPr>
        <w:t>；</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持平</w:t>
      </w:r>
      <w:r>
        <w:rPr>
          <w:rFonts w:hint="eastAsia" w:ascii="Times New Roman" w:hAnsi="Times New Roman" w:eastAsia="仿宋_GB2312" w:cs="仿宋_GB2312"/>
          <w:kern w:val="0"/>
          <w:sz w:val="30"/>
          <w:szCs w:val="30"/>
          <w:highlight w:val="none"/>
        </w:rPr>
        <w:t>的主要原因是：其中：</w:t>
      </w:r>
      <w:r>
        <w:rPr>
          <w:rFonts w:hint="eastAsia" w:ascii="Times New Roman" w:hAnsi="Times New Roman" w:eastAsia="仿宋_GB2312" w:cs="仿宋_GB2312"/>
          <w:sz w:val="30"/>
          <w:szCs w:val="30"/>
        </w:rPr>
        <w:t>本年度未用财政拨款经费列支公务用车购置及运行维护费</w:t>
      </w:r>
      <w:r>
        <w:rPr>
          <w:rFonts w:hint="eastAsia" w:ascii="Times New Roman" w:hAnsi="Times New Roman" w:eastAsia="仿宋_GB2312" w:cs="仿宋_GB2312"/>
          <w:sz w:val="30"/>
          <w:szCs w:val="30"/>
          <w:lang w:eastAsia="zh-CN"/>
        </w:rPr>
        <w:t>。</w:t>
      </w:r>
    </w:p>
    <w:p w14:paraId="639D7E72">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lang w:eastAsia="zh-CN"/>
        </w:rPr>
      </w:pPr>
      <w:r>
        <w:rPr>
          <w:rFonts w:hint="eastAsia" w:ascii="Times New Roman" w:hAnsi="Times New Roman" w:eastAsia="仿宋_GB2312" w:cs="仿宋_GB2312"/>
          <w:kern w:val="0"/>
          <w:sz w:val="30"/>
          <w:szCs w:val="30"/>
          <w:highlight w:val="none"/>
        </w:rPr>
        <w:t>公务用车运行维护费预算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等于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sz w:val="30"/>
          <w:szCs w:val="30"/>
        </w:rPr>
        <w:t>本年度未用财政拨款经费列支公务用车运行维护费</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持平</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rPr>
        <w:t>本年度未用财政拨款经费列支公务用车运行维护费</w:t>
      </w:r>
      <w:r>
        <w:rPr>
          <w:rFonts w:hint="eastAsia" w:ascii="Times New Roman" w:hAnsi="Times New Roman" w:eastAsia="仿宋_GB2312" w:cs="仿宋_GB2312"/>
          <w:sz w:val="30"/>
          <w:szCs w:val="30"/>
          <w:lang w:eastAsia="zh-CN"/>
        </w:rPr>
        <w:t>。</w:t>
      </w:r>
    </w:p>
    <w:p w14:paraId="1E35CDDD">
      <w:pPr>
        <w:autoSpaceDE w:val="0"/>
        <w:autoSpaceDN w:val="0"/>
        <w:adjustRightInd w:val="0"/>
        <w:spacing w:line="600" w:lineRule="exact"/>
        <w:ind w:firstLine="60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截至</w:t>
      </w: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w:t>
      </w:r>
      <w:r>
        <w:rPr>
          <w:rFonts w:ascii="Times New Roman" w:hAnsi="Times New Roman" w:eastAsia="仿宋_GB2312" w:cs="仿宋_GB2312"/>
          <w:kern w:val="0"/>
          <w:sz w:val="30"/>
          <w:szCs w:val="30"/>
          <w:highlight w:val="none"/>
        </w:rPr>
        <w:t>12</w:t>
      </w:r>
      <w:r>
        <w:rPr>
          <w:rFonts w:hint="eastAsia" w:ascii="Times New Roman" w:hAnsi="Times New Roman" w:eastAsia="仿宋_GB2312" w:cs="仿宋_GB2312"/>
          <w:kern w:val="0"/>
          <w:sz w:val="30"/>
          <w:szCs w:val="30"/>
          <w:highlight w:val="none"/>
        </w:rPr>
        <w:t>月</w:t>
      </w:r>
      <w:r>
        <w:rPr>
          <w:rFonts w:ascii="Times New Roman" w:hAnsi="Times New Roman" w:eastAsia="仿宋_GB2312" w:cs="仿宋_GB2312"/>
          <w:kern w:val="0"/>
          <w:sz w:val="30"/>
          <w:szCs w:val="30"/>
          <w:highlight w:val="none"/>
        </w:rPr>
        <w:t>31</w:t>
      </w:r>
      <w:r>
        <w:rPr>
          <w:rFonts w:hint="eastAsia" w:ascii="Times New Roman" w:hAnsi="Times New Roman" w:eastAsia="仿宋_GB2312" w:cs="仿宋_GB2312"/>
          <w:kern w:val="0"/>
          <w:sz w:val="30"/>
          <w:szCs w:val="30"/>
          <w:highlight w:val="none"/>
        </w:rPr>
        <w:t>日，使用财政拨款开支运行维护费的公务用车保有量为</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辆。</w:t>
      </w:r>
    </w:p>
    <w:p w14:paraId="2624725E">
      <w:pPr>
        <w:autoSpaceDE w:val="0"/>
        <w:autoSpaceDN w:val="0"/>
        <w:adjustRightInd w:val="0"/>
        <w:spacing w:line="600" w:lineRule="exact"/>
        <w:ind w:firstLine="600"/>
        <w:jc w:val="left"/>
        <w:rPr>
          <w:rFonts w:hint="eastAsia" w:ascii="Times New Roman" w:hAnsi="Times New Roman" w:eastAsia="仿宋_GB2312" w:cs="仿宋_GB2312"/>
          <w:b/>
          <w:bCs/>
          <w:kern w:val="0"/>
          <w:sz w:val="30"/>
          <w:szCs w:val="30"/>
          <w:highlight w:val="none"/>
          <w:lang w:eastAsia="zh-CN"/>
        </w:rPr>
      </w:pPr>
      <w:r>
        <w:rPr>
          <w:rFonts w:hint="eastAsia" w:ascii="Times New Roman" w:hAnsi="Times New Roman" w:eastAsia="仿宋_GB2312" w:cs="仿宋_GB2312"/>
          <w:kern w:val="0"/>
          <w:sz w:val="30"/>
          <w:szCs w:val="30"/>
          <w:highlight w:val="none"/>
        </w:rPr>
        <w:t>公务用车购置费预算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等于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sz w:val="30"/>
          <w:szCs w:val="30"/>
        </w:rPr>
        <w:t>本年度未用财政拨款经费列支公务用车购置费</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持平</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rPr>
        <w:t>本年度未用财政拨款经费列支公务用车购置费</w:t>
      </w:r>
      <w:r>
        <w:rPr>
          <w:rFonts w:hint="eastAsia" w:ascii="Times New Roman" w:hAnsi="Times New Roman" w:eastAsia="仿宋_GB2312" w:cs="仿宋_GB2312"/>
          <w:sz w:val="30"/>
          <w:szCs w:val="30"/>
          <w:lang w:eastAsia="zh-CN"/>
        </w:rPr>
        <w:t>。</w:t>
      </w:r>
    </w:p>
    <w:p w14:paraId="2F950B1C">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年购置公务用车</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辆。</w:t>
      </w:r>
    </w:p>
    <w:p w14:paraId="3453CD3B">
      <w:pPr>
        <w:autoSpaceDE w:val="0"/>
        <w:autoSpaceDN w:val="0"/>
        <w:adjustRightInd w:val="0"/>
        <w:spacing w:line="600" w:lineRule="exact"/>
        <w:ind w:firstLine="645"/>
        <w:jc w:val="left"/>
        <w:rPr>
          <w:rFonts w:hint="eastAsia" w:ascii="Times New Roman" w:hAnsi="Times New Roman" w:eastAsia="仿宋_GB2312" w:cs="仿宋_GB2312"/>
          <w:kern w:val="0"/>
          <w:sz w:val="30"/>
          <w:szCs w:val="30"/>
          <w:highlight w:val="none"/>
          <w:lang w:eastAsia="zh-CN"/>
        </w:rPr>
      </w:pPr>
      <w:r>
        <w:rPr>
          <w:rFonts w:ascii="Times New Roman" w:hAnsi="Times New Roman" w:eastAsia="仿宋_GB2312" w:cs="仿宋_GB2312"/>
          <w:kern w:val="0"/>
          <w:sz w:val="30"/>
          <w:szCs w:val="30"/>
          <w:highlight w:val="none"/>
        </w:rPr>
        <w:t>3.</w:t>
      </w:r>
      <w:r>
        <w:rPr>
          <w:rFonts w:hint="eastAsia" w:ascii="Times New Roman" w:hAnsi="Times New Roman" w:eastAsia="仿宋_GB2312" w:cs="仿宋_GB2312"/>
          <w:kern w:val="0"/>
          <w:sz w:val="30"/>
          <w:szCs w:val="30"/>
          <w:highlight w:val="none"/>
        </w:rPr>
        <w:t>公务接待费预算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等于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sz w:val="30"/>
          <w:szCs w:val="30"/>
        </w:rPr>
        <w:t>本年度未用财政拨款经费列支公务接待费</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持平</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rPr>
        <w:t>本年度未用财政拨款经费列支公务接待费</w:t>
      </w:r>
      <w:r>
        <w:rPr>
          <w:rFonts w:hint="eastAsia" w:ascii="Times New Roman" w:hAnsi="Times New Roman" w:eastAsia="仿宋_GB2312" w:cs="仿宋_GB2312"/>
          <w:sz w:val="30"/>
          <w:szCs w:val="30"/>
          <w:lang w:eastAsia="zh-CN"/>
        </w:rPr>
        <w:t>。</w:t>
      </w:r>
    </w:p>
    <w:p w14:paraId="1322E775">
      <w:pPr>
        <w:autoSpaceDE w:val="0"/>
        <w:autoSpaceDN w:val="0"/>
        <w:adjustRightInd w:val="0"/>
        <w:spacing w:line="600" w:lineRule="exact"/>
        <w:ind w:firstLine="645"/>
        <w:jc w:val="left"/>
        <w:rPr>
          <w:rFonts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年本单位国内公务接待</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批次，</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人次；其中，外事接待</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批次，</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人次。</w:t>
      </w:r>
    </w:p>
    <w:p w14:paraId="73E0E38F">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十、机关运行经费支出情况说明</w:t>
      </w:r>
    </w:p>
    <w:p w14:paraId="6D651896">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天津市蓟州区东施古镇西施古中心小学2023年度无机关运行经费。</w:t>
      </w:r>
    </w:p>
    <w:p w14:paraId="356B9E85">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十一、政府采购支出情况说明</w:t>
      </w:r>
    </w:p>
    <w:p w14:paraId="1B8DF673">
      <w:pPr>
        <w:autoSpaceDE w:val="0"/>
        <w:autoSpaceDN w:val="0"/>
        <w:adjustRightInd w:val="0"/>
        <w:spacing w:line="600" w:lineRule="exact"/>
        <w:ind w:firstLine="600"/>
        <w:jc w:val="left"/>
        <w:rPr>
          <w:rFonts w:ascii="Times New Roman" w:hAnsi="Times New Roman" w:eastAsia="楷体" w:cs="Times New Roman"/>
          <w:kern w:val="0"/>
          <w:sz w:val="30"/>
          <w:szCs w:val="30"/>
          <w:highlight w:val="none"/>
        </w:rPr>
      </w:pPr>
      <w:r>
        <w:rPr>
          <w:rFonts w:hint="eastAsia" w:ascii="Times New Roman" w:hAnsi="Times New Roman" w:eastAsia="仿宋_GB2312" w:cs="仿宋_GB2312"/>
          <w:sz w:val="30"/>
          <w:szCs w:val="30"/>
          <w:highlight w:val="none"/>
          <w:lang w:eastAsia="zh-CN"/>
        </w:rPr>
        <w:t>天津市蓟州区东施古镇西施古中心小学2023年度无政府采购支出。</w:t>
      </w:r>
    </w:p>
    <w:p w14:paraId="2EA10748">
      <w:pPr>
        <w:keepNext/>
        <w:keepLines/>
        <w:autoSpaceDE w:val="0"/>
        <w:autoSpaceDN w:val="0"/>
        <w:adjustRightInd w:val="0"/>
        <w:spacing w:line="600" w:lineRule="exact"/>
        <w:ind w:firstLine="602"/>
        <w:jc w:val="left"/>
        <w:outlineLvl w:val="1"/>
        <w:rPr>
          <w:rFonts w:ascii="Times New Roman" w:hAnsi="Times New Roman" w:eastAsia="仿宋_GB2312" w:cs="Times New Roman"/>
          <w:color w:val="000000"/>
          <w:kern w:val="0"/>
          <w:sz w:val="30"/>
          <w:szCs w:val="30"/>
          <w:highlight w:val="none"/>
        </w:rPr>
      </w:pPr>
      <w:r>
        <w:rPr>
          <w:rFonts w:hint="eastAsia" w:ascii="Times New Roman" w:hAnsi="Times New Roman" w:eastAsia="黑体" w:cs="黑体"/>
          <w:b/>
          <w:bCs/>
          <w:kern w:val="0"/>
          <w:sz w:val="30"/>
          <w:szCs w:val="30"/>
          <w:highlight w:val="none"/>
          <w:lang w:val="zh-CN"/>
        </w:rPr>
        <w:t>十二、</w:t>
      </w:r>
      <w:r>
        <w:rPr>
          <w:rFonts w:hint="eastAsia" w:ascii="Times New Roman" w:hAnsi="Times New Roman" w:eastAsia="黑体" w:cs="黑体"/>
          <w:b/>
          <w:bCs/>
          <w:kern w:val="0"/>
          <w:sz w:val="30"/>
          <w:szCs w:val="30"/>
          <w:highlight w:val="none"/>
        </w:rPr>
        <w:t>国有资产占有使用情况说明</w:t>
      </w:r>
    </w:p>
    <w:p w14:paraId="46262B6B">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天津市蓟州区东施古镇西施古中心小学2023年度无国有资产占有使用情况。</w:t>
      </w:r>
    </w:p>
    <w:p w14:paraId="19837415">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十三、</w:t>
      </w:r>
      <w:r>
        <w:rPr>
          <w:rFonts w:hint="eastAsia" w:ascii="Times New Roman" w:hAnsi="Times New Roman" w:eastAsia="黑体" w:cs="黑体"/>
          <w:b/>
          <w:bCs/>
          <w:kern w:val="0"/>
          <w:sz w:val="30"/>
          <w:szCs w:val="30"/>
          <w:highlight w:val="none"/>
        </w:rPr>
        <w:t>预算绩效情况说明</w:t>
      </w:r>
    </w:p>
    <w:p w14:paraId="1244870C">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根据预算绩效管理要求，天津市蓟州区东施古镇西施古中心小学2023年度没有项目支出，无需开展绩效自评。本部门2023年度没有项目支出，无需开展部门评价。</w:t>
      </w:r>
    </w:p>
    <w:p w14:paraId="68B1D867">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十四、</w:t>
      </w:r>
      <w:r>
        <w:rPr>
          <w:rFonts w:hint="eastAsia" w:ascii="Times New Roman" w:hAnsi="Times New Roman" w:eastAsia="黑体" w:cs="黑体"/>
          <w:b/>
          <w:bCs/>
          <w:kern w:val="0"/>
          <w:sz w:val="30"/>
          <w:szCs w:val="30"/>
          <w:highlight w:val="none"/>
        </w:rPr>
        <w:t>教育、医疗卫生、社会保障和就业、住房保障、涉农补贴等民生支出情况说明</w:t>
      </w:r>
    </w:p>
    <w:p w14:paraId="253862D0">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202</w:t>
      </w:r>
      <w:r>
        <w:rPr>
          <w:rFonts w:hint="eastAsia" w:ascii="Times New Roman" w:hAnsi="Times New Roman" w:eastAsia="仿宋_GB2312" w:cs="仿宋_GB2312"/>
          <w:sz w:val="30"/>
          <w:szCs w:val="30"/>
          <w:highlight w:val="none"/>
          <w:lang w:val="en-US" w:eastAsia="zh-CN"/>
        </w:rPr>
        <w:t>3</w:t>
      </w:r>
      <w:r>
        <w:rPr>
          <w:rFonts w:hint="eastAsia" w:ascii="Times New Roman" w:hAnsi="Times New Roman" w:eastAsia="仿宋_GB2312" w:cs="仿宋_GB2312"/>
          <w:sz w:val="30"/>
          <w:szCs w:val="30"/>
          <w:highlight w:val="none"/>
          <w:lang w:eastAsia="zh-CN"/>
        </w:rPr>
        <w:t>年度，</w:t>
      </w:r>
      <w:r>
        <w:rPr>
          <w:rFonts w:hint="eastAsia" w:ascii="Times New Roman" w:hAnsi="Times New Roman" w:eastAsia="仿宋_GB2312" w:cs="仿宋_GB2312"/>
          <w:sz w:val="30"/>
          <w:szCs w:val="30"/>
          <w:highlight w:val="none"/>
          <w:lang w:val="zh-CN" w:eastAsia="zh-CN"/>
        </w:rPr>
        <w:t>天津市蓟州区东施古镇西施古中心小学</w:t>
      </w:r>
      <w:r>
        <w:rPr>
          <w:rFonts w:hint="eastAsia" w:ascii="Times New Roman" w:hAnsi="Times New Roman" w:eastAsia="仿宋_GB2312" w:cs="仿宋_GB2312"/>
          <w:sz w:val="30"/>
          <w:szCs w:val="30"/>
          <w:highlight w:val="none"/>
          <w:lang w:eastAsia="zh-CN"/>
        </w:rPr>
        <w:t>教育支出</w:t>
      </w:r>
      <w:r>
        <w:rPr>
          <w:rFonts w:hint="eastAsia" w:ascii="Times New Roman" w:hAnsi="Times New Roman" w:eastAsia="仿宋_GB2312" w:cs="仿宋_GB2312"/>
          <w:sz w:val="30"/>
          <w:szCs w:val="30"/>
          <w:highlight w:val="none"/>
          <w:lang w:val="en-US" w:eastAsia="zh-CN"/>
        </w:rPr>
        <w:t>3,795,101.79</w:t>
      </w:r>
      <w:r>
        <w:rPr>
          <w:rFonts w:hint="eastAsia" w:ascii="Times New Roman" w:hAnsi="Times New Roman" w:eastAsia="仿宋_GB2312" w:cs="仿宋_GB2312"/>
          <w:sz w:val="30"/>
          <w:szCs w:val="30"/>
          <w:highlight w:val="none"/>
          <w:lang w:eastAsia="zh-CN"/>
        </w:rPr>
        <w:t>元、社会保障和就业支出4</w:t>
      </w:r>
      <w:r>
        <w:rPr>
          <w:rFonts w:hint="eastAsia" w:ascii="Times New Roman" w:hAnsi="Times New Roman" w:eastAsia="仿宋_GB2312" w:cs="仿宋_GB2312"/>
          <w:sz w:val="30"/>
          <w:szCs w:val="30"/>
          <w:highlight w:val="none"/>
          <w:lang w:val="en-US" w:eastAsia="zh-CN"/>
        </w:rPr>
        <w:t>85,479.68</w:t>
      </w:r>
      <w:r>
        <w:rPr>
          <w:rFonts w:hint="eastAsia" w:ascii="Times New Roman" w:hAnsi="Times New Roman" w:eastAsia="仿宋_GB2312" w:cs="仿宋_GB2312"/>
          <w:sz w:val="30"/>
          <w:szCs w:val="30"/>
          <w:highlight w:val="none"/>
          <w:lang w:eastAsia="zh-CN"/>
        </w:rPr>
        <w:t>元、卫生健康支出</w:t>
      </w:r>
      <w:r>
        <w:rPr>
          <w:rFonts w:hint="eastAsia" w:ascii="Times New Roman" w:hAnsi="Times New Roman" w:eastAsia="仿宋_GB2312" w:cs="仿宋_GB2312"/>
          <w:sz w:val="30"/>
          <w:szCs w:val="30"/>
          <w:highlight w:val="none"/>
          <w:lang w:val="en-US" w:eastAsia="zh-CN"/>
        </w:rPr>
        <w:t>200,520.24</w:t>
      </w:r>
      <w:r>
        <w:rPr>
          <w:rFonts w:hint="eastAsia" w:ascii="Times New Roman" w:hAnsi="Times New Roman" w:eastAsia="仿宋_GB2312" w:cs="仿宋_GB2312"/>
          <w:sz w:val="30"/>
          <w:szCs w:val="30"/>
          <w:highlight w:val="none"/>
          <w:lang w:eastAsia="zh-CN"/>
        </w:rPr>
        <w:t>元。</w:t>
      </w:r>
    </w:p>
    <w:p w14:paraId="47F3C268">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p>
    <w:p w14:paraId="3D91A25F">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p>
    <w:p w14:paraId="72AD880D">
      <w:pPr>
        <w:autoSpaceDE w:val="0"/>
        <w:autoSpaceDN w:val="0"/>
        <w:adjustRightInd w:val="0"/>
        <w:jc w:val="left"/>
        <w:rPr>
          <w:rFonts w:ascii="Times New Roman" w:hAnsi="Times New Roman" w:eastAsia="仿宋_GB2312" w:cs="仿宋_GB2312"/>
          <w:b/>
          <w:bCs/>
          <w:color w:val="000000"/>
          <w:kern w:val="0"/>
          <w:sz w:val="30"/>
          <w:szCs w:val="30"/>
          <w:highlight w:val="none"/>
        </w:rPr>
      </w:pPr>
      <w:r>
        <w:rPr>
          <w:rFonts w:ascii="Times New Roman" w:hAnsi="Times New Roman" w:eastAsia="仿宋_GB2312" w:cs="仿宋_GB2312"/>
          <w:b/>
          <w:bCs/>
          <w:color w:val="000000"/>
          <w:kern w:val="0"/>
          <w:sz w:val="30"/>
          <w:szCs w:val="30"/>
          <w:highlight w:val="none"/>
        </w:rPr>
        <w:br w:type="page"/>
      </w:r>
    </w:p>
    <w:p w14:paraId="7E835902">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第四部分名词解释</w:t>
      </w:r>
    </w:p>
    <w:p w14:paraId="7071FD7D">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p>
    <w:p w14:paraId="1E8C6CF3">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lang w:val="en-US" w:eastAsia="zh-CN"/>
        </w:rPr>
        <w:t>1</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24EF5873">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2.</w:t>
      </w:r>
      <w:r>
        <w:rPr>
          <w:rFonts w:hint="eastAsia" w:ascii="Times New Roman" w:hAnsi="Times New Roman" w:eastAsia="仿宋_GB2312" w:cs="仿宋_GB2312"/>
          <w:kern w:val="0"/>
          <w:sz w:val="30"/>
          <w:szCs w:val="30"/>
          <w:highlight w:val="none"/>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3D069EA9">
      <w:pPr>
        <w:autoSpaceDE w:val="0"/>
        <w:autoSpaceDN w:val="0"/>
        <w:adjustRightInd w:val="0"/>
        <w:spacing w:line="600" w:lineRule="exact"/>
        <w:ind w:firstLine="600"/>
        <w:jc w:val="left"/>
        <w:rPr>
          <w:rFonts w:ascii="Times New Roman" w:hAnsi="Times New Roman"/>
          <w:highlight w:val="none"/>
        </w:rPr>
      </w:pPr>
      <w:r>
        <w:rPr>
          <w:rFonts w:ascii="Times New Roman" w:hAnsi="Times New Roman" w:eastAsia="仿宋_GB2312" w:cs="仿宋_GB2312"/>
          <w:kern w:val="0"/>
          <w:sz w:val="30"/>
          <w:szCs w:val="30"/>
          <w:highlight w:val="none"/>
        </w:rPr>
        <w:t>3.“</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2000000000000000000"/>
    <w:charset w:val="86"/>
    <w:family w:val="auto"/>
    <w:pitch w:val="default"/>
    <w:sig w:usb0="00000001" w:usb1="08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FhNmI0MjY5YjlmZmVjMWY5NmIzYTkxN2FjMTNlN2E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7562D3"/>
    <w:rsid w:val="05CA273A"/>
    <w:rsid w:val="05E55C53"/>
    <w:rsid w:val="069A035E"/>
    <w:rsid w:val="07267E44"/>
    <w:rsid w:val="07425D24"/>
    <w:rsid w:val="075B7834"/>
    <w:rsid w:val="07A23238"/>
    <w:rsid w:val="085D1644"/>
    <w:rsid w:val="0A7D5D1A"/>
    <w:rsid w:val="0AF018E5"/>
    <w:rsid w:val="0B1428B6"/>
    <w:rsid w:val="0B2716A6"/>
    <w:rsid w:val="0B2E72C7"/>
    <w:rsid w:val="0C411F0C"/>
    <w:rsid w:val="0CDD71F7"/>
    <w:rsid w:val="0D664210"/>
    <w:rsid w:val="0DA7267B"/>
    <w:rsid w:val="0DFB4FC0"/>
    <w:rsid w:val="0E267459"/>
    <w:rsid w:val="0E9D3DF9"/>
    <w:rsid w:val="0EBB5316"/>
    <w:rsid w:val="0F4936D8"/>
    <w:rsid w:val="0FC42B69"/>
    <w:rsid w:val="0FF22FB9"/>
    <w:rsid w:val="118916FB"/>
    <w:rsid w:val="120D2417"/>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292A37"/>
    <w:rsid w:val="276E7495"/>
    <w:rsid w:val="27DD7C53"/>
    <w:rsid w:val="284E3F62"/>
    <w:rsid w:val="28612632"/>
    <w:rsid w:val="2A924D25"/>
    <w:rsid w:val="2BC20F83"/>
    <w:rsid w:val="2C55607E"/>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193165"/>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28807D6"/>
    <w:rsid w:val="43612B5A"/>
    <w:rsid w:val="43805C0B"/>
    <w:rsid w:val="43B835F7"/>
    <w:rsid w:val="44552CED"/>
    <w:rsid w:val="44EB17AA"/>
    <w:rsid w:val="450E46F2"/>
    <w:rsid w:val="45984C48"/>
    <w:rsid w:val="47727F60"/>
    <w:rsid w:val="47D81178"/>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7D16DE"/>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AB4747"/>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0F708D"/>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80568C"/>
    <w:rsid w:val="6EB34837"/>
    <w:rsid w:val="70180DF5"/>
    <w:rsid w:val="704716DB"/>
    <w:rsid w:val="708C6A78"/>
    <w:rsid w:val="70E84C6C"/>
    <w:rsid w:val="70FE35D3"/>
    <w:rsid w:val="71600CA6"/>
    <w:rsid w:val="7260119C"/>
    <w:rsid w:val="72701CEB"/>
    <w:rsid w:val="72B3615B"/>
    <w:rsid w:val="73724CC1"/>
    <w:rsid w:val="7455465F"/>
    <w:rsid w:val="75AB44BA"/>
    <w:rsid w:val="7879361E"/>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styleId="2">
    <w:name w:val="heading 1"/>
    <w:basedOn w:val="1"/>
    <w:next w:val="1"/>
    <w:link w:val="9"/>
    <w:qFormat/>
    <w:uiPriority w:val="99"/>
    <w:pPr>
      <w:autoSpaceDE w:val="0"/>
      <w:autoSpaceDN w:val="0"/>
      <w:adjustRightInd w:val="0"/>
      <w:jc w:val="left"/>
      <w:outlineLvl w:val="0"/>
    </w:pPr>
    <w:rPr>
      <w:rFonts w:ascii="方正小标宋简体" w:eastAsia="方正小标宋简体"/>
      <w:kern w:val="0"/>
      <w:sz w:val="24"/>
      <w:szCs w:val="24"/>
    </w:rPr>
  </w:style>
  <w:style w:type="paragraph" w:styleId="3">
    <w:name w:val="heading 2"/>
    <w:basedOn w:val="1"/>
    <w:next w:val="1"/>
    <w:link w:val="10"/>
    <w:qFormat/>
    <w:uiPriority w:val="99"/>
    <w:pPr>
      <w:autoSpaceDE w:val="0"/>
      <w:autoSpaceDN w:val="0"/>
      <w:adjustRightInd w:val="0"/>
      <w:jc w:val="left"/>
      <w:outlineLvl w:val="1"/>
    </w:pPr>
    <w:rPr>
      <w:rFonts w:ascii="方正小标宋简体" w:eastAsia="方正小标宋简体"/>
      <w:kern w:val="0"/>
      <w:sz w:val="24"/>
      <w:szCs w:val="2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semiHidden/>
    <w:unhideWhenUsed/>
    <w:qFormat/>
    <w:uiPriority w:val="99"/>
    <w:pPr>
      <w:jc w:val="left"/>
    </w:p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tabs>
        <w:tab w:val="center" w:pos="4153"/>
        <w:tab w:val="right" w:pos="8306"/>
      </w:tabs>
      <w:snapToGrid w:val="0"/>
      <w:jc w:val="center"/>
    </w:pPr>
    <w:rPr>
      <w:sz w:val="18"/>
      <w:szCs w:val="18"/>
    </w:rPr>
  </w:style>
  <w:style w:type="character" w:customStyle="1" w:styleId="9">
    <w:name w:val="标题 1 字符"/>
    <w:basedOn w:val="8"/>
    <w:link w:val="2"/>
    <w:qFormat/>
    <w:uiPriority w:val="99"/>
    <w:rPr>
      <w:rFonts w:ascii="方正小标宋简体" w:eastAsia="方正小标宋简体"/>
      <w:kern w:val="0"/>
      <w:sz w:val="24"/>
      <w:szCs w:val="24"/>
    </w:rPr>
  </w:style>
  <w:style w:type="character" w:customStyle="1" w:styleId="10">
    <w:name w:val="标题 2 字符"/>
    <w:basedOn w:val="8"/>
    <w:link w:val="3"/>
    <w:qFormat/>
    <w:uiPriority w:val="99"/>
    <w:rPr>
      <w:rFonts w:ascii="方正小标宋简体" w:eastAsia="方正小标宋简体"/>
      <w:kern w:val="0"/>
      <w:sz w:val="24"/>
      <w:szCs w:val="24"/>
    </w:rPr>
  </w:style>
  <w:style w:type="character" w:customStyle="1" w:styleId="11">
    <w:name w:val="页眉 字符"/>
    <w:basedOn w:val="8"/>
    <w:link w:val="6"/>
    <w:qFormat/>
    <w:uiPriority w:val="99"/>
    <w:rPr>
      <w:sz w:val="18"/>
      <w:szCs w:val="18"/>
    </w:rPr>
  </w:style>
  <w:style w:type="character" w:customStyle="1" w:styleId="12">
    <w:name w:val="页脚 字符"/>
    <w:basedOn w:val="8"/>
    <w:link w:val="5"/>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4440</Words>
  <Characters>5138</Characters>
  <Lines>82</Lines>
  <Paragraphs>23</Paragraphs>
  <TotalTime>0</TotalTime>
  <ScaleCrop>false</ScaleCrop>
  <LinksUpToDate>false</LinksUpToDate>
  <CharactersWithSpaces>5190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2023-08-11T08:11:00Z</dcterms:created>
  <dc:creator>office</dc:creator>
  <cp:lastModifiedBy>1111</cp:lastModifiedBy>
  <dcterms:modified xsi:type="dcterms:W3CDTF">2024-09-05T02:15:21Z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A44E0A178634409BBBA50D5636087390_13</vt:lpwstr>
  </property>
</Properties>
</file>