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9C4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7A43C9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38DD78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9E8089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7A4E83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D1B9A36">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A9A39D1">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6632D8D">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AF8EB79">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天津市蓟州区西龙虎峪镇藏山庄中心幼儿园2023年度部门决算</w:t>
      </w:r>
    </w:p>
    <w:p w14:paraId="16F0845E">
      <w:pPr>
        <w:autoSpaceDE w:val="0"/>
        <w:autoSpaceDN w:val="0"/>
        <w:adjustRightInd w:val="0"/>
        <w:spacing w:line="580" w:lineRule="exact"/>
        <w:jc w:val="center"/>
        <w:rPr>
          <w:rFonts w:ascii="Times New Roman" w:hAnsi="Times New Roman" w:eastAsia="黑体" w:cs="黑体"/>
          <w:sz w:val="30"/>
          <w:szCs w:val="30"/>
          <w:highlight w:val="none"/>
        </w:rPr>
      </w:pPr>
    </w:p>
    <w:p w14:paraId="63210120">
      <w:pPr>
        <w:autoSpaceDE w:val="0"/>
        <w:autoSpaceDN w:val="0"/>
        <w:adjustRightInd w:val="0"/>
        <w:spacing w:line="580" w:lineRule="exact"/>
        <w:jc w:val="center"/>
        <w:rPr>
          <w:rFonts w:ascii="Times New Roman" w:hAnsi="Times New Roman" w:eastAsia="黑体" w:cs="黑体"/>
          <w:sz w:val="30"/>
          <w:szCs w:val="30"/>
          <w:highlight w:val="none"/>
        </w:rPr>
      </w:pPr>
    </w:p>
    <w:p w14:paraId="44A2AEAB">
      <w:pPr>
        <w:autoSpaceDE w:val="0"/>
        <w:autoSpaceDN w:val="0"/>
        <w:adjustRightInd w:val="0"/>
        <w:spacing w:line="580" w:lineRule="exact"/>
        <w:jc w:val="center"/>
        <w:rPr>
          <w:rFonts w:ascii="Times New Roman" w:hAnsi="Times New Roman" w:eastAsia="黑体" w:cs="黑体"/>
          <w:sz w:val="30"/>
          <w:szCs w:val="30"/>
          <w:highlight w:val="none"/>
        </w:rPr>
      </w:pPr>
    </w:p>
    <w:p w14:paraId="45CD0660">
      <w:pPr>
        <w:autoSpaceDE w:val="0"/>
        <w:autoSpaceDN w:val="0"/>
        <w:adjustRightInd w:val="0"/>
        <w:spacing w:line="580" w:lineRule="exact"/>
        <w:jc w:val="center"/>
        <w:rPr>
          <w:rFonts w:ascii="Times New Roman" w:hAnsi="Times New Roman" w:eastAsia="黑体" w:cs="黑体"/>
          <w:sz w:val="30"/>
          <w:szCs w:val="30"/>
          <w:highlight w:val="none"/>
        </w:rPr>
      </w:pPr>
    </w:p>
    <w:p w14:paraId="433D84DF">
      <w:pPr>
        <w:autoSpaceDE w:val="0"/>
        <w:autoSpaceDN w:val="0"/>
        <w:adjustRightInd w:val="0"/>
        <w:spacing w:line="580" w:lineRule="exact"/>
        <w:jc w:val="center"/>
        <w:rPr>
          <w:rFonts w:ascii="Times New Roman" w:hAnsi="Times New Roman" w:eastAsia="黑体" w:cs="黑体"/>
          <w:sz w:val="30"/>
          <w:szCs w:val="30"/>
          <w:highlight w:val="none"/>
        </w:rPr>
      </w:pPr>
    </w:p>
    <w:p w14:paraId="4B9784E6">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69DB8C4">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6B8D75D0">
      <w:pPr>
        <w:autoSpaceDE w:val="0"/>
        <w:autoSpaceDN w:val="0"/>
        <w:adjustRightInd w:val="0"/>
        <w:spacing w:line="600" w:lineRule="exact"/>
        <w:jc w:val="left"/>
        <w:rPr>
          <w:rFonts w:ascii="Times New Roman" w:hAnsi="Times New Roman" w:eastAsia="黑体" w:cs="黑体"/>
          <w:kern w:val="0"/>
          <w:sz w:val="30"/>
          <w:szCs w:val="30"/>
          <w:highlight w:val="none"/>
        </w:rPr>
      </w:pPr>
    </w:p>
    <w:p w14:paraId="550E011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3716C71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46251B0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2BB0EEAD">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B1643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6F7CC9D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47B05CA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7B71EB7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441C6A3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3FA2CEF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3EB802A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5A96B3C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45938E5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7EF9219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6BCA869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607367E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46AD1A18">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55301CB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3AFE3F2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635B9C1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30C2DE5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59BA645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51BCE8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6790CDC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4C8B37B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7D07740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1B0EE74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039CEEE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428ADF3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6933676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2A6D1F5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4D793BE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556327FB">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60DD9720">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4A256A54">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7712531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为学龄前儿童提供保育和教育服务；承担区域内适龄幼儿入园工作。</w:t>
      </w:r>
    </w:p>
    <w:p w14:paraId="266C0048">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43A8801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天津市蓟州区西龙虎峪镇藏山庄中心幼儿园内设2个职能科室；下辖0个预算单位。纳入天津市蓟州区西龙虎峪镇藏山庄中心幼儿园2023年度部门决算编制范围的单位包括：</w:t>
      </w:r>
    </w:p>
    <w:p w14:paraId="6B07FD8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天津市蓟州区西龙虎峪镇藏山庄中心幼儿园</w:t>
      </w:r>
    </w:p>
    <w:p w14:paraId="12CB5751">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7493F6A">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33E16EDC">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181DF94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5632694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037FC9C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2EA7777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2BF9568B">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0F78A1C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6FFDC39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7C5F2B4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4D43630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1CB58572">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7176262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5C912002">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4DB6B015">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1.天津市蓟州区西龙虎峪镇藏山庄中心幼儿园2023年度政府性基金预算财政拨款收入支出决算表为空表。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2.天津市蓟州区西龙虎峪镇藏山庄中心幼儿园2023年度国有资本经营预算财政拨款收入支出决算表为空表。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3.天津市蓟州区西龙虎峪镇藏山庄中心幼儿园2023年度财政拨款“三公”经费支出决算表为空表。</w:t>
      </w:r>
    </w:p>
    <w:p w14:paraId="5F6C1EA3">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val="en-US" w:eastAsia="zh-CN"/>
        </w:rPr>
        <w:t>4.天津市蓟州区西龙虎峪镇藏山庄中心幼儿园2023年度项目支出决算表为空表</w:t>
      </w:r>
    </w:p>
    <w:p w14:paraId="03C43547">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default" w:ascii="Times New Roman" w:hAnsi="Times New Roman" w:eastAsia="仿宋_GB2312" w:cs="仿宋_GB2312"/>
          <w:sz w:val="30"/>
          <w:szCs w:val="30"/>
          <w:highlight w:val="none"/>
          <w:lang w:val="en-US" w:eastAsia="zh-CN"/>
        </w:rPr>
      </w:pPr>
    </w:p>
    <w:p w14:paraId="23E9FB6F">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7A888929">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530FEA89">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029B054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天津市蓟州区西龙虎峪镇藏山庄中心幼儿园2023年度收入、支出决算总计</w:t>
      </w:r>
      <w:r>
        <w:rPr>
          <w:rFonts w:hint="eastAsia" w:ascii="Times New Roman" w:hAnsi="Times New Roman" w:eastAsia="仿宋_GB2312" w:cs="仿宋_GB2312"/>
          <w:sz w:val="30"/>
          <w:szCs w:val="30"/>
          <w:highlight w:val="none"/>
          <w:lang w:eastAsia="zh-CN"/>
        </w:rPr>
        <w:t>1,110,532.35元，与2022年度相比，收、支总计各增加1,110,532.35元，增长0.0%，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：2023年为新增决算单位。</w:t>
      </w:r>
    </w:p>
    <w:p w14:paraId="1271924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2D6D1AA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天津市蓟州区西龙虎峪镇藏山庄中心幼儿园</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1,110,532.35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增加1,110,532.35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2023年为新增决算单位。</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1,110,532.35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100.0</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hint="eastAsia" w:ascii="Times New Roman" w:hAnsi="Times New Roman" w:eastAsia="仿宋_GB2312" w:cs="仿宋_GB2312"/>
          <w:sz w:val="30"/>
          <w:szCs w:val="30"/>
          <w:highlight w:val="none"/>
          <w:lang w:val="zh-CN" w:eastAsia="zh-CN"/>
        </w:rPr>
        <w:t>。</w:t>
      </w:r>
    </w:p>
    <w:p w14:paraId="3470D12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7F4FF820">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天津市蓟州区西龙虎峪镇藏山庄中心幼儿园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1,110,532.35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1,110,532.35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2023年为新增决算单位。</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1,110,532.35元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306F787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29D45A4D">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天津市蓟州区西龙虎峪镇藏山庄中心幼儿园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1,110,532.35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1,110,532.35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2023年为新增决算单位。</w:t>
      </w:r>
    </w:p>
    <w:p w14:paraId="7C9E986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7F317C78">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7AE3C60E">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天津市蓟州区西龙虎峪镇藏山庄中心幼儿园2023年度部门决算一般公共预算财政拨款支出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计1,110,532.35元，占本年支出合计的100.0%，与2022年度相比，一般公共预算财政拨款支出</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1,110,532.35元，</w:t>
      </w:r>
      <w:r>
        <w:rPr>
          <w:rFonts w:hint="eastAsia" w:ascii="Times New Roman" w:hAnsi="Times New Roman" w:eastAsia="仿宋_GB2312" w:cs="仿宋_GB2312"/>
          <w:sz w:val="30"/>
          <w:szCs w:val="30"/>
          <w:highlight w:val="none"/>
          <w:lang w:val="en-US" w:eastAsia="zh-CN"/>
        </w:rPr>
        <w:t>增长</w:t>
      </w:r>
      <w:r>
        <w:rPr>
          <w:rFonts w:hint="eastAsia" w:ascii="Times New Roman" w:hAnsi="Times New Roman" w:eastAsia="仿宋_GB2312" w:cs="仿宋_GB2312"/>
          <w:sz w:val="30"/>
          <w:szCs w:val="30"/>
          <w:highlight w:val="none"/>
          <w:lang w:eastAsia="zh-CN"/>
        </w:rPr>
        <w:t>0.0%，</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：2023年为新增决算单位。</w:t>
      </w:r>
    </w:p>
    <w:p w14:paraId="532CC4CE">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B8EA941">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1,110,532.35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教育支出（类）1,015,078.63元，占91.40%；社会保障和就业支出（类）67,544.64元，占6.08%；卫生健康支出（类）27,909.08元，占2.52%。</w:t>
      </w:r>
    </w:p>
    <w:p w14:paraId="2EFCFD51">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09F179CD">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1,138,976.96</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1,110,532.35</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97.5%</w:t>
      </w:r>
      <w:r>
        <w:rPr>
          <w:rFonts w:hint="eastAsia" w:ascii="Times New Roman" w:hAnsi="Times New Roman" w:eastAsia="仿宋_GB2312" w:cs="仿宋_GB2312"/>
          <w:kern w:val="0"/>
          <w:sz w:val="30"/>
          <w:szCs w:val="30"/>
          <w:highlight w:val="none"/>
        </w:rPr>
        <w:t>。其中：</w:t>
      </w:r>
    </w:p>
    <w:p w14:paraId="337D7720">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教育支出（类）普通教育（款）学前教育（项）年初预算为1,047,026.00元，支出决算为1,015,078.63元，完成年初预算的96.95%，决算数小于年初预算数的主要原因是保教费返还财政调减支出。</w:t>
      </w:r>
    </w:p>
    <w:p w14:paraId="749ACD00">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 机关事业单位基本养老保险缴费支出（项）年初预算为43,271.04元，支出决算数为45,029.76元，完成年初预算的104.06%，决算数大于年初预算数的主要原因是社保基数调整，社保费增加。</w:t>
      </w:r>
    </w:p>
    <w:p w14:paraId="7269C98A">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社会保障和就业支出（类）行政事业单位养老支出（款）机关事业单位职业年金缴费支出（项）年初预算为21,635.52元，支出决算数为22,514.88元，完成年初预算的104.06%，决算数大于年初预算数的主要原因是社保基数调整，社保费增加。</w:t>
      </w:r>
    </w:p>
    <w:p w14:paraId="2C0133C9">
      <w:pPr>
        <w:numPr>
          <w:ilvl w:val="0"/>
          <w:numId w:val="1"/>
        </w:num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卫生健康支出（类）行政事业单位医疗（款）事业单位医疗年初预算为27,044.40元，支出决算数为27,909.08元，完成年初预算的103.20%，决算数大于年初预算数的主要原因是社保基数调整，社保费增加。</w:t>
      </w:r>
    </w:p>
    <w:p w14:paraId="5104C11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480386F8">
      <w:pPr>
        <w:autoSpaceDE w:val="0"/>
        <w:autoSpaceDN w:val="0"/>
        <w:adjustRightInd w:val="0"/>
        <w:spacing w:line="600" w:lineRule="exact"/>
        <w:ind w:firstLine="72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天津市蓟州区西龙虎峪镇藏山庄中心幼儿园</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1,110,532.35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增加</w:t>
      </w:r>
      <w:r>
        <w:rPr>
          <w:rFonts w:hint="eastAsia" w:ascii="Times New Roman" w:hAnsi="Times New Roman" w:eastAsia="仿宋_GB2312" w:cs="仿宋_GB2312"/>
          <w:sz w:val="30"/>
          <w:szCs w:val="30"/>
          <w:highlight w:val="none"/>
          <w:lang w:eastAsia="zh-CN"/>
        </w:rPr>
        <w:t>1,110,532.35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2023年为新增决算单位。</w:t>
      </w:r>
      <w:r>
        <w:rPr>
          <w:rFonts w:hint="eastAsia" w:ascii="Times New Roman" w:hAnsi="Times New Roman" w:eastAsia="仿宋_GB2312" w:cs="仿宋_GB2312"/>
          <w:kern w:val="0"/>
          <w:sz w:val="30"/>
          <w:szCs w:val="30"/>
          <w:highlight w:val="none"/>
        </w:rPr>
        <w:t>其中：</w:t>
      </w:r>
    </w:p>
    <w:p w14:paraId="1A6AF2A1">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人员经费</w:t>
      </w:r>
      <w:r>
        <w:rPr>
          <w:rFonts w:hint="eastAsia" w:ascii="Times New Roman" w:hAnsi="Times New Roman" w:eastAsia="仿宋_GB2312" w:cs="Times New Roman"/>
          <w:sz w:val="30"/>
          <w:szCs w:val="30"/>
          <w:highlight w:val="none"/>
          <w:lang w:eastAsia="zh-CN"/>
        </w:rPr>
        <w:t>584,491.60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基本工资、津贴补贴、奖金、绩效工资、机关事业单位基本养老保险缴费、职业年金缴费、职工基本医疗保险缴费、其他社会保障缴费、住房公积金。</w:t>
      </w:r>
    </w:p>
    <w:p w14:paraId="67B0BDEE">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526,040.75</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公用经费526,040.75元，主要包括办公费、电费、取暖费、物业管理费、差旅费、维修(护)费、培训费、劳务费。</w:t>
      </w:r>
    </w:p>
    <w:p w14:paraId="646946E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489C3A63">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天津市蓟州区西龙虎峪镇藏山庄中心幼儿园2023年度无政府性基金预算财政拨款收入、支出和结转结余。</w:t>
      </w:r>
    </w:p>
    <w:p w14:paraId="07B5D41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36E0818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天津市蓟州区西龙虎峪镇藏山庄中心幼儿园2023年度无国有资本经营预算财政拨款收入、支出和结转结余。</w:t>
      </w:r>
    </w:p>
    <w:p w14:paraId="0A67F7C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2CAA7354">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14:paraId="04E9403C">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本年度未用财政拨款经费列支“三公”经费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本年度未用财政拨款经费列支“三公”经费。</w:t>
      </w:r>
    </w:p>
    <w:p w14:paraId="04F80275">
      <w:pPr>
        <w:autoSpaceDE w:val="0"/>
        <w:autoSpaceDN w:val="0"/>
        <w:adjustRightInd w:val="0"/>
        <w:spacing w:line="600" w:lineRule="exact"/>
        <w:ind w:firstLine="602"/>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（二）具体情况</w:t>
      </w:r>
    </w:p>
    <w:p w14:paraId="57A969AA">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1.</w:t>
      </w:r>
      <w:r>
        <w:rPr>
          <w:rFonts w:hint="eastAsia" w:ascii="Times New Roman" w:hAnsi="Times New Roman" w:eastAsia="仿宋_GB2312" w:cs="仿宋_GB2312"/>
          <w:kern w:val="0"/>
          <w:sz w:val="30"/>
          <w:szCs w:val="30"/>
        </w:rPr>
        <w:t>因公出国（境）费预算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本年度未用财政拨款经费列支因公出国（境）费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本年度未用财政拨款经费列支因公出国（境）费。</w:t>
      </w:r>
    </w:p>
    <w:p w14:paraId="3775A3BB">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3年本单位组织的出国团组</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个，出国</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43C162C9">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公务用车购置及运行维护费预算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本年度未用财政拨款经费列支公务用车购置及运行维护费。</w:t>
      </w:r>
      <w:r>
        <w:rPr>
          <w:rFonts w:hint="eastAsia" w:ascii="Times New Roman" w:hAnsi="Times New Roman" w:eastAsia="仿宋_GB2312" w:cs="仿宋_GB2312"/>
          <w:kern w:val="0"/>
          <w:sz w:val="30"/>
          <w:szCs w:val="30"/>
        </w:rPr>
        <w:t>其中：</w:t>
      </w:r>
    </w:p>
    <w:p w14:paraId="3A70BAEE">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公务用车运行维护费预算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；较上年相比</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本年度未用财政拨款经费列支公务用车运行维护费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本年度未用财政拨款经费列支公务用车运行维护费。</w:t>
      </w:r>
    </w:p>
    <w:p w14:paraId="0D35C110">
      <w:pPr>
        <w:autoSpaceDE w:val="0"/>
        <w:autoSpaceDN w:val="0"/>
        <w:adjustRightInd w:val="0"/>
        <w:spacing w:line="600" w:lineRule="exact"/>
        <w:ind w:firstLine="600"/>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截至</w:t>
      </w: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w:t>
      </w:r>
      <w:r>
        <w:rPr>
          <w:rFonts w:ascii="Times New Roman" w:hAnsi="Times New Roman" w:eastAsia="仿宋_GB2312" w:cs="仿宋_GB2312"/>
          <w:kern w:val="0"/>
          <w:sz w:val="30"/>
          <w:szCs w:val="30"/>
        </w:rPr>
        <w:t>12</w:t>
      </w:r>
      <w:r>
        <w:rPr>
          <w:rFonts w:hint="eastAsia" w:ascii="Times New Roman" w:hAnsi="Times New Roman" w:eastAsia="仿宋_GB2312" w:cs="仿宋_GB2312"/>
          <w:kern w:val="0"/>
          <w:sz w:val="30"/>
          <w:szCs w:val="30"/>
        </w:rPr>
        <w:t>月</w:t>
      </w:r>
      <w:r>
        <w:rPr>
          <w:rFonts w:ascii="Times New Roman" w:hAnsi="Times New Roman" w:eastAsia="仿宋_GB2312" w:cs="仿宋_GB2312"/>
          <w:kern w:val="0"/>
          <w:sz w:val="30"/>
          <w:szCs w:val="30"/>
        </w:rPr>
        <w:t>31</w:t>
      </w:r>
      <w:r>
        <w:rPr>
          <w:rFonts w:hint="eastAsia" w:ascii="Times New Roman" w:hAnsi="Times New Roman" w:eastAsia="仿宋_GB2312" w:cs="仿宋_GB2312"/>
          <w:kern w:val="0"/>
          <w:sz w:val="30"/>
          <w:szCs w:val="30"/>
        </w:rPr>
        <w:t>日，使用财政拨款开支运行维护费的公务用车保有量为</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67FA094B">
      <w:pPr>
        <w:autoSpaceDE w:val="0"/>
        <w:autoSpaceDN w:val="0"/>
        <w:adjustRightInd w:val="0"/>
        <w:spacing w:line="600" w:lineRule="exact"/>
        <w:ind w:firstLine="600"/>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公务用车购置费预算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本年度未用财政拨款经费列支公务用车购置费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本年度未用财政拨款经费列支公务用车购置费。</w:t>
      </w:r>
    </w:p>
    <w:p w14:paraId="1E134468">
      <w:pPr>
        <w:autoSpaceDE w:val="0"/>
        <w:autoSpaceDN w:val="0"/>
        <w:adjustRightInd w:val="0"/>
        <w:spacing w:line="600" w:lineRule="exact"/>
        <w:ind w:firstLine="600"/>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3年购置公务用车</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辆。</w:t>
      </w:r>
    </w:p>
    <w:p w14:paraId="025924A6">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公务接待费预算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元，支出决算</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kern w:val="0"/>
          <w:sz w:val="30"/>
          <w:szCs w:val="30"/>
        </w:rPr>
        <w:t>元，与预算相比持平；较上年相比持平。决算数</w:t>
      </w:r>
      <w:r>
        <w:rPr>
          <w:rFonts w:hint="eastAsia" w:ascii="Times New Roman" w:hAnsi="Times New Roman" w:eastAsia="仿宋_GB2312" w:cs="仿宋_GB2312"/>
          <w:sz w:val="30"/>
          <w:szCs w:val="30"/>
        </w:rPr>
        <w:t>等于</w:t>
      </w:r>
      <w:r>
        <w:rPr>
          <w:rFonts w:hint="eastAsia" w:ascii="Times New Roman" w:hAnsi="Times New Roman" w:eastAsia="仿宋_GB2312" w:cs="仿宋_GB2312"/>
          <w:kern w:val="0"/>
          <w:sz w:val="30"/>
          <w:szCs w:val="30"/>
        </w:rPr>
        <w:t>预算数的主要原因是：</w:t>
      </w:r>
      <w:r>
        <w:rPr>
          <w:rFonts w:hint="eastAsia" w:ascii="Times New Roman" w:hAnsi="Times New Roman" w:eastAsia="仿宋_GB2312" w:cs="仿宋_GB2312"/>
          <w:sz w:val="30"/>
          <w:szCs w:val="30"/>
        </w:rPr>
        <w:t>本年度未用财政拨款经费列支公务接待费</w:t>
      </w:r>
      <w:r>
        <w:rPr>
          <w:rFonts w:hint="eastAsia" w:ascii="Times New Roman" w:hAnsi="Times New Roman" w:eastAsia="仿宋_GB2312" w:cs="仿宋_GB2312"/>
          <w:kern w:val="0"/>
          <w:sz w:val="30"/>
          <w:szCs w:val="30"/>
        </w:rPr>
        <w:t>；决算数较上年</w:t>
      </w:r>
      <w:r>
        <w:rPr>
          <w:rFonts w:hint="eastAsia" w:ascii="Times New Roman" w:hAnsi="Times New Roman" w:eastAsia="仿宋_GB2312" w:cs="仿宋_GB2312"/>
          <w:sz w:val="30"/>
          <w:szCs w:val="30"/>
        </w:rPr>
        <w:t>持平</w:t>
      </w:r>
      <w:r>
        <w:rPr>
          <w:rFonts w:hint="eastAsia" w:ascii="Times New Roman" w:hAnsi="Times New Roman" w:eastAsia="仿宋_GB2312" w:cs="仿宋_GB2312"/>
          <w:kern w:val="0"/>
          <w:sz w:val="30"/>
          <w:szCs w:val="30"/>
        </w:rPr>
        <w:t>的主要原因是：</w:t>
      </w:r>
      <w:r>
        <w:rPr>
          <w:rFonts w:hint="eastAsia" w:ascii="Times New Roman" w:hAnsi="Times New Roman" w:eastAsia="仿宋_GB2312" w:cs="仿宋_GB2312"/>
          <w:sz w:val="30"/>
          <w:szCs w:val="30"/>
        </w:rPr>
        <w:t>本年度未用财政拨款经费列支公务接待费。</w:t>
      </w:r>
    </w:p>
    <w:p w14:paraId="69056F6C">
      <w:pPr>
        <w:autoSpaceDE w:val="0"/>
        <w:autoSpaceDN w:val="0"/>
        <w:adjustRightInd w:val="0"/>
        <w:spacing w:line="600" w:lineRule="exact"/>
        <w:ind w:firstLine="645"/>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202</w:t>
      </w:r>
      <w:r>
        <w:rPr>
          <w:rFonts w:hint="eastAsia" w:ascii="Times New Roman" w:hAnsi="Times New Roman" w:eastAsia="仿宋_GB2312" w:cs="仿宋_GB2312"/>
          <w:kern w:val="0"/>
          <w:sz w:val="30"/>
          <w:szCs w:val="30"/>
        </w:rPr>
        <w:t>3年本单位国内公务接待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人次；其中，外事接待</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批次，</w:t>
      </w:r>
      <w:r>
        <w:rPr>
          <w:rFonts w:hint="eastAsia" w:ascii="Times New Roman" w:hAnsi="Times New Roman" w:eastAsia="仿宋_GB2312" w:cs="Times New Roman"/>
          <w:kern w:val="0"/>
          <w:sz w:val="30"/>
          <w:szCs w:val="30"/>
        </w:rPr>
        <w:t>0</w:t>
      </w:r>
      <w:r>
        <w:rPr>
          <w:rFonts w:hint="eastAsia" w:ascii="Times New Roman" w:hAnsi="Times New Roman" w:eastAsia="仿宋_GB2312" w:cs="仿宋_GB2312"/>
          <w:kern w:val="0"/>
          <w:sz w:val="30"/>
          <w:szCs w:val="30"/>
        </w:rPr>
        <w:t>人次。</w:t>
      </w:r>
    </w:p>
    <w:p w14:paraId="30FF71C9">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bookmarkStart w:id="0" w:name="_GoBack"/>
      <w:bookmarkEnd w:id="0"/>
    </w:p>
    <w:p w14:paraId="3F868AAA">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2CBADA5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天津市蓟州区西龙虎峪镇藏山庄中心幼儿园2023年度无机关支行费。</w:t>
      </w:r>
    </w:p>
    <w:p w14:paraId="6454628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2FB9D29F">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天津市蓟州区西龙虎峪镇藏山庄中心幼儿园2023年度无政府采购支出。</w:t>
      </w:r>
    </w:p>
    <w:p w14:paraId="35BD1509">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4102C26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天津市蓟州区西龙虎峪镇藏山庄中心幼儿园2023年度无国有资产占有使用情况。</w:t>
      </w:r>
    </w:p>
    <w:p w14:paraId="3474831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3BD2D6FA">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本单位2023年度没有项目支出，无需开展绩效自评。</w:t>
      </w:r>
    </w:p>
    <w:p w14:paraId="773A6ECB">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1D50D1AB">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2023年度，天津市蓟州区西龙虎峪镇藏山庄中心幼儿园教育支出1,015,078.63元、社会保障和就业支出67,544.64元、卫生健康支出27,909.08元。</w:t>
      </w:r>
    </w:p>
    <w:p w14:paraId="378A5F10">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6D13D224">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6EBAC091">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1F8219E4">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5DB0F95E">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0899E2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7F6D0BD9">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D8683D"/>
    <w:multiLevelType w:val="singleLevel"/>
    <w:tmpl w:val="67D8683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5NzUyYjdiMjc2MGFiNTY4ODM3YjFmMTQ4ODg1NTM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14FDC"/>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481BC4"/>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305A69"/>
    <w:rsid w:val="3E426F14"/>
    <w:rsid w:val="3EB42189"/>
    <w:rsid w:val="3EC62D97"/>
    <w:rsid w:val="3EEF0B4C"/>
    <w:rsid w:val="3EF16375"/>
    <w:rsid w:val="3F2006FA"/>
    <w:rsid w:val="40CF0629"/>
    <w:rsid w:val="4137238C"/>
    <w:rsid w:val="41CC0838"/>
    <w:rsid w:val="43612B5A"/>
    <w:rsid w:val="43805C0B"/>
    <w:rsid w:val="43B835F7"/>
    <w:rsid w:val="44552CED"/>
    <w:rsid w:val="44B12A98"/>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0B77BA8"/>
    <w:rsid w:val="5236167C"/>
    <w:rsid w:val="52A37398"/>
    <w:rsid w:val="53C102A5"/>
    <w:rsid w:val="54380029"/>
    <w:rsid w:val="54A61249"/>
    <w:rsid w:val="54F16968"/>
    <w:rsid w:val="55AC416B"/>
    <w:rsid w:val="5642724B"/>
    <w:rsid w:val="564C0516"/>
    <w:rsid w:val="565805AD"/>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94D4F05"/>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4081</Words>
  <Characters>4805</Characters>
  <Lines>82</Lines>
  <Paragraphs>23</Paragraphs>
  <TotalTime>0</TotalTime>
  <ScaleCrop>false</ScaleCrop>
  <LinksUpToDate>false</LinksUpToDate>
  <CharactersWithSpaces>4837</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藏山之中</cp:lastModifiedBy>
  <dcterms:modified xsi:type="dcterms:W3CDTF">2024-09-04T23:36:05Z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3386AFC634974E19AE255A58F6F32361_13</vt:lpwstr>
  </property>
</Properties>
</file>