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665" w:rsidRDefault="001A2665">
      <w:pPr>
        <w:autoSpaceDE w:val="0"/>
        <w:autoSpaceDN w:val="0"/>
        <w:adjustRightInd w:val="0"/>
        <w:jc w:val="center"/>
        <w:rPr>
          <w:rFonts w:ascii="Times New Roman" w:eastAsia="方正小标宋简体" w:hAnsi="Times New Roman" w:cs="方正小标宋简体"/>
          <w:kern w:val="0"/>
          <w:sz w:val="48"/>
          <w:szCs w:val="48"/>
          <w:lang w:val="zh-CN"/>
        </w:rPr>
      </w:pPr>
    </w:p>
    <w:p w:rsidR="001A2665" w:rsidRDefault="001A2665">
      <w:pPr>
        <w:autoSpaceDE w:val="0"/>
        <w:autoSpaceDN w:val="0"/>
        <w:adjustRightInd w:val="0"/>
        <w:jc w:val="center"/>
        <w:rPr>
          <w:rFonts w:ascii="Times New Roman" w:eastAsia="方正小标宋简体" w:hAnsi="Times New Roman" w:cs="方正小标宋简体"/>
          <w:kern w:val="0"/>
          <w:sz w:val="48"/>
          <w:szCs w:val="48"/>
          <w:lang w:val="zh-CN"/>
        </w:rPr>
      </w:pPr>
    </w:p>
    <w:p w:rsidR="001A2665" w:rsidRDefault="001A2665">
      <w:pPr>
        <w:autoSpaceDE w:val="0"/>
        <w:autoSpaceDN w:val="0"/>
        <w:adjustRightInd w:val="0"/>
        <w:jc w:val="center"/>
        <w:rPr>
          <w:rFonts w:ascii="Times New Roman" w:eastAsia="方正小标宋简体" w:hAnsi="Times New Roman" w:cs="方正小标宋简体"/>
          <w:kern w:val="0"/>
          <w:sz w:val="48"/>
          <w:szCs w:val="48"/>
          <w:lang w:val="zh-CN"/>
        </w:rPr>
      </w:pPr>
    </w:p>
    <w:p w:rsidR="001A2665" w:rsidRDefault="001A2665">
      <w:pPr>
        <w:autoSpaceDE w:val="0"/>
        <w:autoSpaceDN w:val="0"/>
        <w:adjustRightInd w:val="0"/>
        <w:jc w:val="center"/>
        <w:rPr>
          <w:rFonts w:ascii="Times New Roman" w:eastAsia="方正小标宋简体" w:hAnsi="Times New Roman" w:cs="方正小标宋简体"/>
          <w:kern w:val="0"/>
          <w:sz w:val="48"/>
          <w:szCs w:val="48"/>
          <w:lang w:val="zh-CN"/>
        </w:rPr>
      </w:pPr>
    </w:p>
    <w:p w:rsidR="001A2665" w:rsidRDefault="001A2665">
      <w:pPr>
        <w:autoSpaceDE w:val="0"/>
        <w:autoSpaceDN w:val="0"/>
        <w:adjustRightInd w:val="0"/>
        <w:jc w:val="center"/>
        <w:rPr>
          <w:rFonts w:ascii="Times New Roman" w:eastAsia="方正小标宋简体" w:hAnsi="Times New Roman" w:cs="方正小标宋简体"/>
          <w:kern w:val="0"/>
          <w:sz w:val="48"/>
          <w:szCs w:val="48"/>
          <w:lang w:val="zh-CN"/>
        </w:rPr>
      </w:pPr>
    </w:p>
    <w:p w:rsidR="001A2665" w:rsidRDefault="001A2665">
      <w:pPr>
        <w:autoSpaceDE w:val="0"/>
        <w:autoSpaceDN w:val="0"/>
        <w:adjustRightInd w:val="0"/>
        <w:jc w:val="center"/>
        <w:rPr>
          <w:rFonts w:ascii="Times New Roman" w:eastAsia="方正小标宋简体" w:hAnsi="Times New Roman" w:cs="方正小标宋简体"/>
          <w:kern w:val="0"/>
          <w:sz w:val="48"/>
          <w:szCs w:val="48"/>
          <w:lang w:val="zh-CN"/>
        </w:rPr>
      </w:pPr>
    </w:p>
    <w:p w:rsidR="001A2665" w:rsidRDefault="001A2665">
      <w:pPr>
        <w:autoSpaceDE w:val="0"/>
        <w:autoSpaceDN w:val="0"/>
        <w:adjustRightInd w:val="0"/>
        <w:jc w:val="center"/>
        <w:rPr>
          <w:rFonts w:ascii="Times New Roman" w:eastAsia="方正小标宋简体" w:hAnsi="Times New Roman" w:cs="方正小标宋简体"/>
          <w:kern w:val="0"/>
          <w:sz w:val="48"/>
          <w:szCs w:val="48"/>
          <w:lang w:val="zh-CN"/>
        </w:rPr>
      </w:pPr>
    </w:p>
    <w:p w:rsidR="001A2665" w:rsidRDefault="001A2665">
      <w:pPr>
        <w:autoSpaceDE w:val="0"/>
        <w:autoSpaceDN w:val="0"/>
        <w:adjustRightInd w:val="0"/>
        <w:jc w:val="center"/>
        <w:rPr>
          <w:rFonts w:ascii="Times New Roman" w:eastAsia="方正小标宋简体" w:hAnsi="Times New Roman" w:cs="方正小标宋简体"/>
          <w:kern w:val="0"/>
          <w:sz w:val="48"/>
          <w:szCs w:val="48"/>
          <w:lang w:val="zh-CN"/>
        </w:rPr>
      </w:pPr>
    </w:p>
    <w:p w:rsidR="001A2665" w:rsidRDefault="008A423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州区马伸桥镇宋家营初级中学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A2665" w:rsidRDefault="001A2665">
      <w:pPr>
        <w:autoSpaceDE w:val="0"/>
        <w:autoSpaceDN w:val="0"/>
        <w:adjustRightInd w:val="0"/>
        <w:spacing w:line="580" w:lineRule="exact"/>
        <w:jc w:val="center"/>
        <w:rPr>
          <w:rFonts w:ascii="Times New Roman" w:eastAsia="黑体" w:hAnsi="Times New Roman" w:cs="黑体"/>
          <w:sz w:val="30"/>
          <w:szCs w:val="30"/>
        </w:rPr>
      </w:pPr>
    </w:p>
    <w:p w:rsidR="001A2665" w:rsidRDefault="001A2665">
      <w:pPr>
        <w:autoSpaceDE w:val="0"/>
        <w:autoSpaceDN w:val="0"/>
        <w:adjustRightInd w:val="0"/>
        <w:spacing w:line="580" w:lineRule="exact"/>
        <w:jc w:val="center"/>
        <w:rPr>
          <w:rFonts w:ascii="Times New Roman" w:eastAsia="黑体" w:hAnsi="Times New Roman" w:cs="黑体"/>
          <w:sz w:val="30"/>
          <w:szCs w:val="30"/>
        </w:rPr>
      </w:pPr>
    </w:p>
    <w:p w:rsidR="001A2665" w:rsidRDefault="001A2665">
      <w:pPr>
        <w:autoSpaceDE w:val="0"/>
        <w:autoSpaceDN w:val="0"/>
        <w:adjustRightInd w:val="0"/>
        <w:spacing w:line="580" w:lineRule="exact"/>
        <w:jc w:val="center"/>
        <w:rPr>
          <w:rFonts w:ascii="Times New Roman" w:eastAsia="黑体" w:hAnsi="Times New Roman" w:cs="黑体"/>
          <w:sz w:val="30"/>
          <w:szCs w:val="30"/>
        </w:rPr>
      </w:pPr>
    </w:p>
    <w:p w:rsidR="001A2665" w:rsidRDefault="001A2665">
      <w:pPr>
        <w:autoSpaceDE w:val="0"/>
        <w:autoSpaceDN w:val="0"/>
        <w:adjustRightInd w:val="0"/>
        <w:spacing w:line="580" w:lineRule="exact"/>
        <w:jc w:val="center"/>
        <w:rPr>
          <w:rFonts w:ascii="Times New Roman" w:eastAsia="黑体" w:hAnsi="Times New Roman" w:cs="黑体"/>
          <w:sz w:val="30"/>
          <w:szCs w:val="30"/>
        </w:rPr>
      </w:pPr>
    </w:p>
    <w:p w:rsidR="001A2665" w:rsidRDefault="001A2665">
      <w:pPr>
        <w:autoSpaceDE w:val="0"/>
        <w:autoSpaceDN w:val="0"/>
        <w:adjustRightInd w:val="0"/>
        <w:spacing w:line="580" w:lineRule="exact"/>
        <w:jc w:val="center"/>
        <w:rPr>
          <w:rFonts w:ascii="Times New Roman" w:eastAsia="黑体" w:hAnsi="Times New Roman" w:cs="黑体"/>
          <w:sz w:val="30"/>
          <w:szCs w:val="30"/>
        </w:rPr>
      </w:pPr>
    </w:p>
    <w:p w:rsidR="001A2665" w:rsidRDefault="008A423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A2665" w:rsidRDefault="008A423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A2665" w:rsidRDefault="001A2665">
      <w:pPr>
        <w:autoSpaceDE w:val="0"/>
        <w:autoSpaceDN w:val="0"/>
        <w:adjustRightInd w:val="0"/>
        <w:spacing w:line="600" w:lineRule="exact"/>
        <w:jc w:val="left"/>
        <w:rPr>
          <w:rFonts w:ascii="Times New Roman" w:eastAsia="黑体" w:hAnsi="Times New Roman" w:cs="黑体"/>
          <w:kern w:val="0"/>
          <w:sz w:val="30"/>
          <w:szCs w:val="30"/>
        </w:rPr>
      </w:pPr>
    </w:p>
    <w:p w:rsidR="001A2665" w:rsidRDefault="008A423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A2665" w:rsidRDefault="008A423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A2665" w:rsidRDefault="008A423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A2665" w:rsidRDefault="008A423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A2665" w:rsidRDefault="008A423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A2665" w:rsidRDefault="008A423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A2665" w:rsidRDefault="008A423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A2665" w:rsidRDefault="008A423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A2665" w:rsidRDefault="008A423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州区马伸桥镇宋家营初级中学管理和指导学校的基础教育工作；研究拟订学校的发展规划和年度计划；负责和指导全校师生的思想政治工作。</w:t>
      </w:r>
    </w:p>
    <w:p w:rsidR="001A2665" w:rsidRDefault="008A423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A2665" w:rsidRDefault="008A423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个校长室、教务处、政教处；下辖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A2665" w:rsidRDefault="008A423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p>
    <w:p w:rsidR="001A2665" w:rsidRDefault="008A423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A2665" w:rsidRDefault="008A423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A2665" w:rsidRDefault="001A2665">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A2665" w:rsidRDefault="008A423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A2665" w:rsidRDefault="008A423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A2665" w:rsidRDefault="008A423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1A2665" w:rsidRDefault="001A2665">
      <w:pPr>
        <w:autoSpaceDE w:val="0"/>
        <w:autoSpaceDN w:val="0"/>
        <w:adjustRightInd w:val="0"/>
        <w:spacing w:line="600" w:lineRule="exact"/>
        <w:ind w:firstLine="601"/>
        <w:jc w:val="left"/>
        <w:rPr>
          <w:rFonts w:ascii="Times New Roman" w:eastAsia="仿宋_GB2312" w:hAnsi="Times New Roman" w:cs="仿宋_GB2312"/>
          <w:sz w:val="30"/>
          <w:szCs w:val="30"/>
        </w:rPr>
      </w:pPr>
    </w:p>
    <w:p w:rsidR="001A2665" w:rsidRDefault="008A423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A2665" w:rsidRDefault="001A2665">
      <w:pPr>
        <w:autoSpaceDE w:val="0"/>
        <w:autoSpaceDN w:val="0"/>
        <w:adjustRightInd w:val="0"/>
        <w:spacing w:line="580" w:lineRule="exact"/>
        <w:ind w:firstLine="600"/>
        <w:jc w:val="left"/>
        <w:rPr>
          <w:rFonts w:ascii="Times New Roman" w:eastAsia="黑体" w:hAnsi="Times New Roman" w:cs="黑体"/>
          <w:sz w:val="30"/>
          <w:szCs w:val="30"/>
          <w:lang w:val="zh-CN"/>
        </w:rPr>
      </w:pP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A2665" w:rsidRDefault="008A423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州区马伸桥镇宋家营初级中学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13,017,540.83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484,565.98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3.59%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：人员变动和工资调标</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A2665" w:rsidRDefault="008A423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13,017,540.83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484,565.98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人员变动和工资调标</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12,715,429.70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302,111.13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2.32%</w:t>
      </w:r>
      <w:r>
        <w:rPr>
          <w:rFonts w:ascii="Times New Roman" w:eastAsia="仿宋_GB2312" w:hAnsi="Times New Roman" w:cs="仿宋_GB2312" w:hint="eastAsia"/>
          <w:sz w:val="30"/>
          <w:szCs w:val="30"/>
          <w:lang w:val="zh-CN"/>
        </w:rPr>
        <w:t>。</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A2665" w:rsidRDefault="008A4230">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13,017,540.83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484,565.98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人员变动和工资调标</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13,017,540.83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A2665" w:rsidRDefault="008A423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12,715,429.70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598,459.61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人员变动和工资调标</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A2665" w:rsidRDefault="008A423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A2665" w:rsidRDefault="008A423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12,715,429.70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598,459.61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：人员变动和工资调标</w:t>
      </w:r>
    </w:p>
    <w:p w:rsidR="001A2665" w:rsidRDefault="008A423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A2665" w:rsidRDefault="008A423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12,715,429.70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10,749,094.90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84.54%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1,391,504.64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574,830.16</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4.52%</w:t>
      </w:r>
      <w:r>
        <w:rPr>
          <w:rFonts w:ascii="Times New Roman" w:eastAsia="仿宋_GB2312" w:hAnsi="Times New Roman" w:cs="仿宋_GB2312" w:hint="eastAsia"/>
          <w:sz w:val="30"/>
          <w:szCs w:val="30"/>
        </w:rPr>
        <w:t>。</w:t>
      </w:r>
    </w:p>
    <w:p w:rsidR="001A2665" w:rsidRDefault="008A423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A2665" w:rsidRDefault="008A423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12,121,976.16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12,715,429.70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104.9%</w:t>
      </w:r>
      <w:r>
        <w:rPr>
          <w:rFonts w:ascii="Times New Roman" w:eastAsia="仿宋_GB2312" w:hAnsi="Times New Roman" w:cs="仿宋_GB2312" w:hint="eastAsia"/>
          <w:kern w:val="0"/>
          <w:sz w:val="30"/>
          <w:szCs w:val="30"/>
        </w:rPr>
        <w:t>。其中：</w:t>
      </w:r>
    </w:p>
    <w:p w:rsidR="001A2665" w:rsidRDefault="008A423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10221442.8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10749094.9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105.16%</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10221442.8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10749094.9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105.16%</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初中教育（项）年初预算为</w:t>
      </w:r>
      <w:r>
        <w:rPr>
          <w:rFonts w:ascii="Times New Roman" w:eastAsia="仿宋_GB2312" w:hAnsi="Times New Roman" w:cs="仿宋_GB2312" w:hint="eastAsia"/>
          <w:sz w:val="30"/>
          <w:szCs w:val="30"/>
        </w:rPr>
        <w:t>10221442.8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10749094.9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1341552.96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1391504.64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103.72%</w:t>
      </w:r>
      <w:r>
        <w:rPr>
          <w:rFonts w:ascii="Times New Roman" w:eastAsia="仿宋_GB2312" w:hAnsi="Times New Roman" w:cs="仿宋_GB2312" w:hint="eastAsia"/>
          <w:sz w:val="30"/>
          <w:szCs w:val="30"/>
        </w:rPr>
        <w:t>，决算数大于年初预</w:t>
      </w:r>
      <w:r>
        <w:rPr>
          <w:rFonts w:ascii="Times New Roman" w:eastAsia="仿宋_GB2312" w:hAnsi="Times New Roman" w:cs="仿宋_GB2312" w:hint="eastAsia"/>
          <w:sz w:val="30"/>
          <w:szCs w:val="30"/>
        </w:rPr>
        <w:lastRenderedPageBreak/>
        <w:t>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行政事业单位养老支出（款）年初预算数为</w:t>
      </w:r>
      <w:r>
        <w:rPr>
          <w:rFonts w:ascii="Times New Roman" w:eastAsia="仿宋_GB2312" w:hAnsi="Times New Roman" w:cs="仿宋_GB2312" w:hint="eastAsia"/>
          <w:sz w:val="30"/>
          <w:szCs w:val="30"/>
        </w:rPr>
        <w:t>1341552.96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1391504.64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103.72%</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w:t>
      </w:r>
      <w:r>
        <w:rPr>
          <w:rFonts w:ascii="Times New Roman" w:eastAsia="仿宋_GB2312" w:hAnsi="Times New Roman" w:cs="仿宋_GB2312" w:hint="eastAsia"/>
          <w:sz w:val="30"/>
          <w:szCs w:val="30"/>
        </w:rPr>
        <w:t>为</w:t>
      </w:r>
      <w:r>
        <w:rPr>
          <w:rFonts w:ascii="Times New Roman" w:eastAsia="仿宋_GB2312" w:hAnsi="Times New Roman" w:cs="仿宋_GB2312" w:hint="eastAsia"/>
          <w:sz w:val="30"/>
          <w:szCs w:val="30"/>
        </w:rPr>
        <w:t>894368.64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927669.76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103.72%</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447184.32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463834.88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103.72%</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558980.4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574830.16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102.83%</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w:t>
      </w:r>
      <w:r>
        <w:rPr>
          <w:rFonts w:ascii="Times New Roman" w:eastAsia="仿宋_GB2312" w:hAnsi="Times New Roman" w:cs="仿宋_GB2312" w:hint="eastAsia"/>
          <w:sz w:val="30"/>
          <w:szCs w:val="30"/>
        </w:rPr>
        <w:t>单位医疗支出（款）年初预算数</w:t>
      </w:r>
      <w:r>
        <w:rPr>
          <w:rFonts w:ascii="Times New Roman" w:eastAsia="仿宋_GB2312" w:hAnsi="Times New Roman" w:cs="仿宋_GB2312" w:hint="eastAsia"/>
          <w:sz w:val="30"/>
          <w:szCs w:val="30"/>
        </w:rPr>
        <w:t>558980.4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574830.16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102.83%</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558980.4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574830.16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102.83%</w:t>
      </w:r>
      <w:r>
        <w:rPr>
          <w:rFonts w:ascii="Times New Roman" w:eastAsia="仿宋_GB2312" w:hAnsi="Times New Roman" w:cs="仿宋_GB2312" w:hint="eastAsia"/>
          <w:sz w:val="30"/>
          <w:szCs w:val="30"/>
        </w:rPr>
        <w:t>，决算数大于年初预算数的主要原因是在职人员增加缴费增加。</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A2665" w:rsidRDefault="008A423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般公共预算财政拨款基本支出合计</w:t>
      </w:r>
      <w:r>
        <w:rPr>
          <w:rFonts w:ascii="Times New Roman" w:eastAsia="仿宋_GB2312" w:hAnsi="Times New Roman" w:cs="Times New Roman" w:hint="eastAsia"/>
          <w:sz w:val="30"/>
          <w:szCs w:val="30"/>
        </w:rPr>
        <w:t>12,715,429.70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598,459.61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人员变动和工资调标</w:t>
      </w:r>
      <w:r>
        <w:rPr>
          <w:rFonts w:ascii="Times New Roman" w:eastAsia="仿宋_GB2312" w:hAnsi="Times New Roman" w:cs="仿宋_GB2312" w:hint="eastAsia"/>
          <w:kern w:val="0"/>
          <w:sz w:val="30"/>
          <w:szCs w:val="30"/>
        </w:rPr>
        <w:t>其中：</w:t>
      </w:r>
    </w:p>
    <w:p w:rsidR="001A2665" w:rsidRDefault="008A423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11,893,764.02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离休费、退休费、退职（役）费、抚恤金、生活补助、奖励金、其他对个人和家庭的补助。</w:t>
      </w:r>
    </w:p>
    <w:p w:rsidR="001A2665" w:rsidRDefault="008A423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821,665.68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办公费、印刷费、咨询费、手续费、电费、邮电费、取暖费、物业管理费、差旅费、维修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A2665" w:rsidRDefault="008A423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A2665" w:rsidRDefault="008A423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8A4230" w:rsidRDefault="008A4230" w:rsidP="008A423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A4230" w:rsidRDefault="008A4230" w:rsidP="008A423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8A4230" w:rsidRDefault="008A4230" w:rsidP="008A4230">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8A4230" w:rsidRDefault="008A4230" w:rsidP="008A423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8A4230" w:rsidRDefault="008A4230" w:rsidP="008A423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A4230" w:rsidRDefault="008A4230" w:rsidP="008A423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8A4230" w:rsidRDefault="008A4230" w:rsidP="008A423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8A4230" w:rsidRDefault="008A4230" w:rsidP="008A423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A4230" w:rsidRDefault="008A4230" w:rsidP="008A423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8A4230" w:rsidRDefault="008A4230" w:rsidP="008A423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A4230" w:rsidRDefault="008A4230" w:rsidP="008A423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A2665" w:rsidRDefault="008A4230" w:rsidP="008A423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A2665" w:rsidRDefault="008A423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A2665" w:rsidRDefault="008A423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A2665" w:rsidRDefault="008A4230">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天津市蓟州区马伸桥镇宋家营初级中学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A2665" w:rsidRDefault="008A423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1A2665" w:rsidRDefault="008A423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1A2665" w:rsidRDefault="008A423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州区马伸桥镇宋家营初级中学教育支出</w:t>
      </w:r>
      <w:r>
        <w:rPr>
          <w:rFonts w:ascii="Times New Roman" w:eastAsia="仿宋_GB2312" w:hAnsi="Times New Roman" w:cs="仿宋_GB2312" w:hint="eastAsia"/>
          <w:sz w:val="30"/>
          <w:szCs w:val="30"/>
        </w:rPr>
        <w:t>11051206.03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1341552.96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558980.4</w:t>
      </w:r>
      <w:r>
        <w:rPr>
          <w:rFonts w:ascii="Times New Roman" w:eastAsia="仿宋_GB2312" w:hAnsi="Times New Roman" w:cs="仿宋_GB2312" w:hint="eastAsia"/>
          <w:sz w:val="30"/>
          <w:szCs w:val="30"/>
        </w:rPr>
        <w:t>元。</w:t>
      </w:r>
    </w:p>
    <w:p w:rsidR="001A2665" w:rsidRDefault="001A266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A2665" w:rsidRDefault="008A423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A2665" w:rsidRDefault="008A423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A2665" w:rsidRDefault="001A266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A2665" w:rsidRDefault="008A423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A2665" w:rsidRDefault="008A423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A2665" w:rsidRDefault="008A423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A26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A2665"/>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A4230"/>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87C65BA"/>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799</Words>
  <Characters>4556</Characters>
  <Application>Microsoft Office Word</Application>
  <DocSecurity>0</DocSecurity>
  <Lines>37</Lines>
  <Paragraphs>10</Paragraphs>
  <ScaleCrop>false</ScaleCrop>
  <Company>HP Inc.</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3C69A9F136964971872C21275AFCA755_13</vt:lpwstr>
  </property>
</Properties>
</file>