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pPr>
        <w:autoSpaceDE w:val="0"/>
        <w:autoSpaceDN w:val="0"/>
        <w:adjustRightInd w:val="0"/>
        <w:jc w:val="center"/>
        <w:rPr>
          <w:rFonts w:ascii="Times New Roman" w:hAnsi="Times New Roman" w:eastAsia="方正小标宋简体" w:cs="方正小标宋简体"/>
          <w:kern w:val="0"/>
          <w:sz w:val="48"/>
          <w:szCs w:val="48"/>
          <w:highlight w:val="none"/>
          <w:lang w:val="zh-CN"/>
        </w:rPr>
      </w:pPr>
      <w:r>
        <w:rPr>
          <w:rFonts w:hint="eastAsia" w:ascii="Times New Roman" w:hAnsi="Times New Roman" w:eastAsia="方正小标宋简体" w:cs="方正小标宋简体"/>
          <w:kern w:val="0"/>
          <w:sz w:val="48"/>
          <w:szCs w:val="48"/>
          <w:highlight w:val="none"/>
          <w:lang w:val="zh-CN"/>
        </w:rPr>
        <w:t>天津市蓟州区东二营镇东辛庄中心小学2023年度部门决算</w:t>
      </w:r>
    </w:p>
    <w:p>
      <w:pPr>
        <w:autoSpaceDE w:val="0"/>
        <w:autoSpaceDN w:val="0"/>
        <w:adjustRightInd w:val="0"/>
        <w:spacing w:line="580" w:lineRule="exact"/>
        <w:jc w:val="center"/>
        <w:rPr>
          <w:rFonts w:ascii="Times New Roman" w:hAnsi="Times New Roman" w:eastAsia="黑体" w:cs="黑体"/>
          <w:sz w:val="30"/>
          <w:szCs w:val="30"/>
          <w:highlight w:val="none"/>
        </w:rPr>
      </w:pPr>
    </w:p>
    <w:p>
      <w:pPr>
        <w:autoSpaceDE w:val="0"/>
        <w:autoSpaceDN w:val="0"/>
        <w:adjustRightInd w:val="0"/>
        <w:spacing w:line="580" w:lineRule="exact"/>
        <w:jc w:val="center"/>
        <w:rPr>
          <w:rFonts w:ascii="Times New Roman" w:hAnsi="Times New Roman" w:eastAsia="黑体" w:cs="黑体"/>
          <w:sz w:val="30"/>
          <w:szCs w:val="30"/>
          <w:highlight w:val="none"/>
        </w:rPr>
      </w:pPr>
    </w:p>
    <w:p>
      <w:pPr>
        <w:autoSpaceDE w:val="0"/>
        <w:autoSpaceDN w:val="0"/>
        <w:adjustRightInd w:val="0"/>
        <w:spacing w:line="580" w:lineRule="exact"/>
        <w:jc w:val="center"/>
        <w:rPr>
          <w:rFonts w:ascii="Times New Roman" w:hAnsi="Times New Roman" w:eastAsia="黑体" w:cs="黑体"/>
          <w:sz w:val="30"/>
          <w:szCs w:val="30"/>
          <w:highlight w:val="none"/>
        </w:rPr>
      </w:pPr>
    </w:p>
    <w:p>
      <w:pPr>
        <w:autoSpaceDE w:val="0"/>
        <w:autoSpaceDN w:val="0"/>
        <w:adjustRightInd w:val="0"/>
        <w:spacing w:line="580" w:lineRule="exact"/>
        <w:jc w:val="center"/>
        <w:rPr>
          <w:rFonts w:ascii="Times New Roman" w:hAnsi="Times New Roman" w:eastAsia="黑体" w:cs="黑体"/>
          <w:sz w:val="30"/>
          <w:szCs w:val="30"/>
          <w:highlight w:val="none"/>
        </w:rPr>
      </w:pPr>
    </w:p>
    <w:p>
      <w:pPr>
        <w:autoSpaceDE w:val="0"/>
        <w:autoSpaceDN w:val="0"/>
        <w:adjustRightInd w:val="0"/>
        <w:spacing w:line="580" w:lineRule="exact"/>
        <w:jc w:val="center"/>
        <w:rPr>
          <w:rFonts w:ascii="Times New Roman" w:hAnsi="Times New Roman" w:eastAsia="黑体" w:cs="黑体"/>
          <w:sz w:val="30"/>
          <w:szCs w:val="30"/>
          <w:highlight w:val="none"/>
        </w:rPr>
      </w:pPr>
    </w:p>
    <w:p>
      <w:pPr>
        <w:autoSpaceDE w:val="0"/>
        <w:autoSpaceDN w:val="0"/>
        <w:adjustRightInd w:val="0"/>
        <w:spacing w:line="600" w:lineRule="exact"/>
        <w:jc w:val="center"/>
        <w:rPr>
          <w:rFonts w:ascii="Times New Roman" w:hAnsi="Times New Roman" w:eastAsia="黑体" w:cs="黑体"/>
          <w:kern w:val="0"/>
          <w:sz w:val="44"/>
          <w:szCs w:val="44"/>
          <w:highlight w:val="none"/>
        </w:rPr>
      </w:pPr>
      <w:r>
        <w:rPr>
          <w:rFonts w:ascii="Times New Roman" w:hAnsi="Times New Roman" w:eastAsia="黑体" w:cs="黑体"/>
          <w:sz w:val="30"/>
          <w:szCs w:val="30"/>
          <w:highlight w:val="none"/>
        </w:rPr>
        <w:br w:type="page"/>
      </w:r>
    </w:p>
    <w:p>
      <w:pPr>
        <w:autoSpaceDE w:val="0"/>
        <w:autoSpaceDN w:val="0"/>
        <w:adjustRightInd w:val="0"/>
        <w:spacing w:line="600" w:lineRule="exact"/>
        <w:jc w:val="center"/>
        <w:rPr>
          <w:rFonts w:ascii="Times New Roman" w:hAnsi="Times New Roman" w:eastAsia="黑体" w:cs="黑体"/>
          <w:kern w:val="0"/>
          <w:sz w:val="44"/>
          <w:szCs w:val="44"/>
          <w:highlight w:val="none"/>
        </w:rPr>
      </w:pPr>
      <w:r>
        <w:rPr>
          <w:rFonts w:hint="eastAsia" w:ascii="Times New Roman" w:hAnsi="Times New Roman" w:eastAsia="黑体" w:cs="黑体"/>
          <w:kern w:val="0"/>
          <w:sz w:val="44"/>
          <w:szCs w:val="44"/>
          <w:highlight w:val="none"/>
        </w:rPr>
        <w:t>目</w:t>
      </w:r>
      <w:r>
        <w:rPr>
          <w:rFonts w:hint="eastAsia" w:ascii="Times New Roman" w:hAnsi="Times New Roman" w:eastAsia="黑体" w:cs="黑体"/>
          <w:kern w:val="0"/>
          <w:sz w:val="44"/>
          <w:szCs w:val="44"/>
          <w:highlight w:val="none"/>
          <w:lang w:val="en-US" w:eastAsia="zh-CN"/>
        </w:rPr>
        <w:t xml:space="preserve">   </w:t>
      </w:r>
      <w:r>
        <w:rPr>
          <w:rFonts w:hint="eastAsia" w:ascii="Times New Roman" w:hAnsi="Times New Roman" w:eastAsia="黑体" w:cs="黑体"/>
          <w:kern w:val="0"/>
          <w:sz w:val="44"/>
          <w:szCs w:val="44"/>
          <w:highlight w:val="none"/>
        </w:rPr>
        <w:t>录</w:t>
      </w:r>
    </w:p>
    <w:p>
      <w:pPr>
        <w:autoSpaceDE w:val="0"/>
        <w:autoSpaceDN w:val="0"/>
        <w:adjustRightInd w:val="0"/>
        <w:spacing w:line="600" w:lineRule="exact"/>
        <w:jc w:val="left"/>
        <w:rPr>
          <w:rFonts w:ascii="Times New Roman" w:hAnsi="Times New Roman" w:eastAsia="黑体" w:cs="黑体"/>
          <w:kern w:val="0"/>
          <w:sz w:val="30"/>
          <w:szCs w:val="30"/>
          <w:highlight w:val="none"/>
        </w:rPr>
      </w:pPr>
    </w:p>
    <w:p>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rPr>
      </w:pPr>
      <w:r>
        <w:rPr>
          <w:rFonts w:hint="eastAsia" w:ascii="Times New Roman" w:hAnsi="Times New Roman" w:eastAsia="方正小标宋简体" w:cs="方正小标宋简体"/>
          <w:kern w:val="0"/>
          <w:sz w:val="30"/>
          <w:szCs w:val="30"/>
          <w:highlight w:val="none"/>
        </w:rPr>
        <w:t>第一部分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rPr>
        <w:t>概</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rPr>
        <w:t>况</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一、主要职责</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二、机构设置</w:t>
      </w:r>
    </w:p>
    <w:p>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rPr>
      </w:pPr>
      <w:r>
        <w:rPr>
          <w:rFonts w:hint="eastAsia" w:ascii="Times New Roman" w:hAnsi="Times New Roman" w:eastAsia="方正小标宋简体" w:cs="方正小标宋简体"/>
          <w:kern w:val="0"/>
          <w:sz w:val="30"/>
          <w:szCs w:val="30"/>
          <w:highlight w:val="none"/>
        </w:rPr>
        <w:t>第二部分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lang w:eastAsia="zh-CN"/>
        </w:rPr>
        <w:t>2023</w:t>
      </w:r>
      <w:r>
        <w:rPr>
          <w:rFonts w:hint="eastAsia" w:ascii="Times New Roman" w:hAnsi="Times New Roman" w:eastAsia="方正小标宋简体" w:cs="方正小标宋简体"/>
          <w:kern w:val="0"/>
          <w:sz w:val="30"/>
          <w:szCs w:val="30"/>
          <w:highlight w:val="none"/>
        </w:rPr>
        <w:t>年度部门决算表</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一、收入支出决算总表</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二、收入决算表（按功能分类列示）</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三、收入决算表（按单位列示）</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四、支出决算表</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五、财政拨款收入支出决算总表</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六、一般公共预算财政拨款支出决算表</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七、一般公共预算财政拨款基本支出决算表</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八、政府性基金预算财政拨款收入支出决算表</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九、国有资本经营预算财政拨款收入支出决算表</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十、财政拨款</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经费支出决算表</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十一、项目支出决算表</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十二、关于空表的说明</w:t>
      </w:r>
    </w:p>
    <w:p>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rPr>
      </w:pPr>
      <w:r>
        <w:rPr>
          <w:rFonts w:hint="eastAsia" w:ascii="Times New Roman" w:hAnsi="Times New Roman" w:eastAsia="方正小标宋简体" w:cs="方正小标宋简体"/>
          <w:kern w:val="0"/>
          <w:sz w:val="30"/>
          <w:szCs w:val="30"/>
          <w:highlight w:val="none"/>
        </w:rPr>
        <w:t>第三部分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lang w:eastAsia="zh-CN"/>
        </w:rPr>
        <w:t>2023</w:t>
      </w:r>
      <w:r>
        <w:rPr>
          <w:rFonts w:hint="eastAsia" w:ascii="Times New Roman" w:hAnsi="Times New Roman" w:eastAsia="方正小标宋简体" w:cs="方正小标宋简体"/>
          <w:kern w:val="0"/>
          <w:sz w:val="30"/>
          <w:szCs w:val="30"/>
          <w:highlight w:val="none"/>
        </w:rPr>
        <w:t>年度部门决算情况说明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一、收支决算总体情况说明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二、收入决算情况说明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三、支出决算情况说明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四、财政拨款收支决算总体情况说明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五、一般公共预算财政拨款支出决算情况说明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六、一般公共预算财政拨款基本支出决算情况说明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七、政府性基金预算财政拨款收支决算情况说明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八、国有资本经营预算财政拨款收支决算情况说明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九、财政拨款</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经费支出决算情况说明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十、机关运行经费支出情况说明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十一、政府采购支出情况说明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十二、国有资产占有使用情况说明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十三、预算绩效情况说明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lang w:val="en"/>
        </w:rPr>
      </w:pPr>
      <w:r>
        <w:rPr>
          <w:rFonts w:hint="eastAsia" w:ascii="Times New Roman" w:hAnsi="Times New Roman" w:eastAsia="仿宋_GB2312" w:cs="仿宋_GB2312"/>
          <w:kern w:val="0"/>
          <w:sz w:val="30"/>
          <w:szCs w:val="30"/>
          <w:highlight w:val="none"/>
        </w:rPr>
        <w:t>十四、教育、医疗卫生、社会保障和就业、住房保障、涉农补贴等民生支出情况说明</w:t>
      </w:r>
    </w:p>
    <w:p>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lang w:val="en"/>
        </w:rPr>
      </w:pPr>
      <w:r>
        <w:rPr>
          <w:rFonts w:hint="eastAsia" w:ascii="Times New Roman" w:hAnsi="Times New Roman" w:eastAsia="方正小标宋简体" w:cs="方正小标宋简体"/>
          <w:kern w:val="0"/>
          <w:sz w:val="30"/>
          <w:szCs w:val="30"/>
          <w:highlight w:val="none"/>
          <w:lang w:val="en"/>
        </w:rPr>
        <w:t>第四部分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lang w:val="en"/>
        </w:rPr>
        <w:t>名词解释</w:t>
      </w:r>
    </w:p>
    <w:p>
      <w:pPr>
        <w:autoSpaceDE w:val="0"/>
        <w:autoSpaceDN w:val="0"/>
        <w:adjustRightInd w:val="0"/>
        <w:spacing w:line="700" w:lineRule="exact"/>
        <w:jc w:val="left"/>
        <w:rPr>
          <w:rFonts w:ascii="Times New Roman" w:hAnsi="Times New Roman" w:eastAsia="黑体" w:cs="黑体"/>
          <w:sz w:val="30"/>
          <w:szCs w:val="30"/>
          <w:highlight w:val="none"/>
          <w:lang w:val="zh-CN"/>
        </w:rPr>
      </w:pPr>
      <w:r>
        <w:rPr>
          <w:rFonts w:ascii="Times New Roman" w:hAnsi="Times New Roman" w:eastAsia="黑体" w:cs="黑体"/>
          <w:sz w:val="30"/>
          <w:szCs w:val="30"/>
          <w:highlight w:val="none"/>
          <w:lang w:val="zh-CN"/>
        </w:rPr>
        <w:br w:type="page"/>
      </w:r>
    </w:p>
    <w:p>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第一部分</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rPr>
        <w:t>概</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rPr>
        <w:t>况</w:t>
      </w:r>
    </w:p>
    <w:p>
      <w:pPr>
        <w:keepNext/>
        <w:keepLines/>
        <w:autoSpaceDE w:val="0"/>
        <w:autoSpaceDN w:val="0"/>
        <w:adjustRightInd w:val="0"/>
        <w:spacing w:line="6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一、主要职责</w:t>
      </w:r>
    </w:p>
    <w:p>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（一）贯彻执行党和国家的教育方针、政策，执行国家和天津市有关教育工作的法律、法规、规章和政策。</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val="en-US" w:eastAsia="zh-CN"/>
        </w:rPr>
        <w:t xml:space="preserve">    </w:t>
      </w:r>
      <w:r>
        <w:rPr>
          <w:rFonts w:hint="eastAsia" w:ascii="Times New Roman" w:hAnsi="Times New Roman" w:eastAsia="仿宋_GB2312" w:cs="仿宋_GB2312"/>
          <w:sz w:val="30"/>
          <w:szCs w:val="30"/>
          <w:highlight w:val="none"/>
          <w:lang w:eastAsia="zh-CN"/>
        </w:rPr>
        <w:t>（二）负责全校教师工作；负责本校劳资工作；负责本校人才队伍建设。</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val="en-US" w:eastAsia="zh-CN"/>
        </w:rPr>
        <w:t xml:space="preserve">    </w:t>
      </w:r>
      <w:r>
        <w:rPr>
          <w:rFonts w:hint="eastAsia" w:ascii="Times New Roman" w:hAnsi="Times New Roman" w:eastAsia="仿宋_GB2312" w:cs="仿宋_GB2312"/>
          <w:sz w:val="30"/>
          <w:szCs w:val="30"/>
          <w:highlight w:val="none"/>
          <w:lang w:eastAsia="zh-CN"/>
        </w:rPr>
        <w:t>（三）负责本校学籍管理工作。</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val="en-US" w:eastAsia="zh-CN"/>
        </w:rPr>
        <w:t xml:space="preserve">    </w:t>
      </w:r>
      <w:r>
        <w:rPr>
          <w:rFonts w:hint="eastAsia" w:ascii="Times New Roman" w:hAnsi="Times New Roman" w:eastAsia="仿宋_GB2312" w:cs="仿宋_GB2312"/>
          <w:sz w:val="30"/>
          <w:szCs w:val="30"/>
          <w:highlight w:val="none"/>
          <w:lang w:eastAsia="zh-CN"/>
        </w:rPr>
        <w:t>（四）负责学校的思想政治工作、德育工作、体育与艺术教育工作及国防教育工作。</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val="en-US" w:eastAsia="zh-CN"/>
        </w:rPr>
        <w:t xml:space="preserve">    </w:t>
      </w:r>
      <w:r>
        <w:rPr>
          <w:rFonts w:hint="eastAsia" w:ascii="Times New Roman" w:hAnsi="Times New Roman" w:eastAsia="仿宋_GB2312" w:cs="仿宋_GB2312"/>
          <w:sz w:val="30"/>
          <w:szCs w:val="30"/>
          <w:highlight w:val="none"/>
          <w:lang w:eastAsia="zh-CN"/>
        </w:rPr>
        <w:t>（五）负责落实国家语言文字工作方针、政策和规划，负责推广普通话。</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val="en-US" w:eastAsia="zh-CN"/>
        </w:rPr>
        <w:t xml:space="preserve">    </w:t>
      </w:r>
      <w:r>
        <w:rPr>
          <w:rFonts w:hint="eastAsia" w:ascii="Times New Roman" w:hAnsi="Times New Roman" w:eastAsia="仿宋_GB2312" w:cs="仿宋_GB2312"/>
          <w:sz w:val="30"/>
          <w:szCs w:val="30"/>
          <w:highlight w:val="none"/>
          <w:lang w:eastAsia="zh-CN"/>
        </w:rPr>
        <w:t>（六）负责本校安全稳定和社会治安综合治理工作。</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val="en-US" w:eastAsia="zh-CN"/>
        </w:rPr>
        <w:t xml:space="preserve">    </w:t>
      </w:r>
      <w:r>
        <w:rPr>
          <w:rFonts w:hint="eastAsia" w:ascii="Times New Roman" w:hAnsi="Times New Roman" w:eastAsia="仿宋_GB2312" w:cs="仿宋_GB2312"/>
          <w:sz w:val="30"/>
          <w:szCs w:val="30"/>
          <w:highlight w:val="none"/>
          <w:lang w:eastAsia="zh-CN"/>
        </w:rPr>
        <w:t>（七）指导有关的教育学会、协会和基金会等社会团体工作。</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val="en-US" w:eastAsia="zh-CN"/>
        </w:rPr>
        <w:t xml:space="preserve">    </w:t>
      </w:r>
      <w:r>
        <w:rPr>
          <w:rFonts w:hint="eastAsia" w:ascii="Times New Roman" w:hAnsi="Times New Roman" w:eastAsia="仿宋_GB2312" w:cs="仿宋_GB2312"/>
          <w:sz w:val="30"/>
          <w:szCs w:val="30"/>
          <w:highlight w:val="none"/>
          <w:lang w:eastAsia="zh-CN"/>
        </w:rPr>
        <w:t>（八）完成教育局交办的其他工作。</w:t>
      </w:r>
    </w:p>
    <w:p>
      <w:pPr>
        <w:keepNext/>
        <w:keepLines/>
        <w:autoSpaceDE w:val="0"/>
        <w:autoSpaceDN w:val="0"/>
        <w:adjustRightInd w:val="0"/>
        <w:spacing w:line="6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二、机构设置</w:t>
      </w:r>
    </w:p>
    <w:p>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蓟州区东二营镇东辛庄中心小学内设3个职能</w:t>
      </w:r>
      <w:r>
        <w:rPr>
          <w:rFonts w:hint="eastAsia" w:ascii="Times New Roman" w:hAnsi="Times New Roman" w:eastAsia="仿宋_GB2312" w:cs="仿宋_GB2312"/>
          <w:sz w:val="30"/>
          <w:szCs w:val="30"/>
          <w:highlight w:val="none"/>
          <w:lang w:val="en-US" w:eastAsia="zh-CN"/>
        </w:rPr>
        <w:t>科</w:t>
      </w:r>
      <w:r>
        <w:rPr>
          <w:rFonts w:hint="eastAsia" w:ascii="Times New Roman" w:hAnsi="Times New Roman" w:eastAsia="仿宋_GB2312" w:cs="仿宋_GB2312"/>
          <w:sz w:val="30"/>
          <w:szCs w:val="30"/>
          <w:highlight w:val="none"/>
          <w:lang w:eastAsia="zh-CN"/>
        </w:rPr>
        <w:t>室；下辖0个预算单位。</w:t>
      </w:r>
    </w:p>
    <w:p>
      <w:pPr>
        <w:rPr>
          <w:rFonts w:ascii="Times New Roman" w:hAnsi="Times New Roman" w:eastAsia="黑体" w:cs="黑体"/>
          <w:sz w:val="30"/>
          <w:szCs w:val="30"/>
          <w:highlight w:val="none"/>
          <w:lang w:val="zh-CN"/>
        </w:rPr>
      </w:pPr>
      <w:r>
        <w:rPr>
          <w:rFonts w:ascii="Times New Roman" w:hAnsi="Times New Roman" w:eastAsia="黑体" w:cs="黑体"/>
          <w:sz w:val="30"/>
          <w:szCs w:val="30"/>
          <w:highlight w:val="none"/>
          <w:lang w:val="zh-CN"/>
        </w:rPr>
        <w:br w:type="page"/>
      </w:r>
    </w:p>
    <w:p>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第二部分</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lang w:eastAsia="zh-CN"/>
        </w:rPr>
        <w:t>2023</w:t>
      </w:r>
      <w:r>
        <w:rPr>
          <w:rFonts w:hint="eastAsia" w:ascii="Times New Roman" w:hAnsi="Times New Roman" w:eastAsia="方正小标宋简体" w:cs="方正小标宋简体"/>
          <w:kern w:val="44"/>
          <w:sz w:val="44"/>
          <w:szCs w:val="44"/>
          <w:highlight w:val="none"/>
        </w:rPr>
        <w:t>年度部门决算表</w:t>
      </w:r>
    </w:p>
    <w:p>
      <w:pPr>
        <w:autoSpaceDE w:val="0"/>
        <w:autoSpaceDN w:val="0"/>
        <w:adjustRightInd w:val="0"/>
        <w:spacing w:line="600" w:lineRule="exact"/>
        <w:jc w:val="left"/>
        <w:rPr>
          <w:rFonts w:ascii="Times New Roman" w:hAnsi="Times New Roman" w:eastAsia="方正小标宋简体" w:cs="Times New Roman"/>
          <w:kern w:val="0"/>
          <w:sz w:val="24"/>
          <w:szCs w:val="24"/>
          <w:highlight w:val="none"/>
        </w:rPr>
      </w:pPr>
    </w:p>
    <w:p>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一、《收入支出决算总表》</w:t>
      </w:r>
    </w:p>
    <w:p>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二、《收入决算表（按功能分类列示）》</w:t>
      </w:r>
    </w:p>
    <w:p>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三、《收入决算表（按单位列示）》</w:t>
      </w:r>
    </w:p>
    <w:p>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四、《支出决算表》</w:t>
      </w:r>
    </w:p>
    <w:p>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五、《财政拨款收入支出决算总表》</w:t>
      </w:r>
    </w:p>
    <w:p>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六、《一般公共预算财政拨款支出决算表》</w:t>
      </w:r>
    </w:p>
    <w:p>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七、《一般公共预算财政拨款基本支出决算表》</w:t>
      </w:r>
    </w:p>
    <w:p>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八、《政府性基金预算财政拨款收入支出决算表》</w:t>
      </w:r>
    </w:p>
    <w:p>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九、《国有资本经营预算财政拨款收入支出决算表》</w:t>
      </w:r>
    </w:p>
    <w:p>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十、《财政拨款</w:t>
      </w:r>
      <w:r>
        <w:rPr>
          <w:rFonts w:ascii="Times New Roman" w:hAnsi="Times New Roman" w:eastAsia="黑体" w:cs="黑体"/>
          <w:kern w:val="0"/>
          <w:sz w:val="30"/>
          <w:szCs w:val="30"/>
          <w:highlight w:val="none"/>
        </w:rPr>
        <w:t>“</w:t>
      </w:r>
      <w:r>
        <w:rPr>
          <w:rFonts w:hint="eastAsia" w:ascii="Times New Roman" w:hAnsi="Times New Roman" w:eastAsia="黑体" w:cs="黑体"/>
          <w:kern w:val="0"/>
          <w:sz w:val="30"/>
          <w:szCs w:val="30"/>
          <w:highlight w:val="none"/>
        </w:rPr>
        <w:t>三公</w:t>
      </w:r>
      <w:r>
        <w:rPr>
          <w:rFonts w:ascii="Times New Roman" w:hAnsi="Times New Roman" w:eastAsia="黑体" w:cs="黑体"/>
          <w:kern w:val="0"/>
          <w:sz w:val="30"/>
          <w:szCs w:val="30"/>
          <w:highlight w:val="none"/>
        </w:rPr>
        <w:t>”</w:t>
      </w:r>
      <w:r>
        <w:rPr>
          <w:rFonts w:hint="eastAsia" w:ascii="Times New Roman" w:hAnsi="Times New Roman" w:eastAsia="黑体" w:cs="黑体"/>
          <w:kern w:val="0"/>
          <w:sz w:val="30"/>
          <w:szCs w:val="30"/>
          <w:highlight w:val="none"/>
        </w:rPr>
        <w:t>经费支出决算表》</w:t>
      </w:r>
    </w:p>
    <w:p>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十一、《项目支出决算表》</w:t>
      </w:r>
    </w:p>
    <w:p>
      <w:pPr>
        <w:autoSpaceDE w:val="0"/>
        <w:autoSpaceDN w:val="0"/>
        <w:adjustRightInd w:val="0"/>
        <w:spacing w:line="600" w:lineRule="exact"/>
        <w:jc w:val="left"/>
        <w:rPr>
          <w:rFonts w:ascii="Times New Roman" w:hAnsi="Times New Roman" w:eastAsia="黑体" w:cs="黑体"/>
          <w:b/>
          <w:bCs/>
          <w:kern w:val="0"/>
          <w:sz w:val="30"/>
          <w:szCs w:val="30"/>
          <w:highlight w:val="none"/>
        </w:rPr>
      </w:pPr>
      <w:r>
        <w:rPr>
          <w:rFonts w:ascii="Times New Roman" w:hAnsi="Times New Roman" w:eastAsia="楷体" w:cs="Times New Roman"/>
          <w:kern w:val="0"/>
          <w:sz w:val="24"/>
          <w:szCs w:val="24"/>
          <w:highlight w:val="none"/>
        </w:rPr>
        <w:br w:type="page"/>
      </w:r>
      <w:r>
        <w:rPr>
          <w:rFonts w:hint="eastAsia" w:ascii="Times New Roman" w:hAnsi="Times New Roman" w:eastAsia="黑体" w:cs="黑体"/>
          <w:b/>
          <w:bCs/>
          <w:kern w:val="0"/>
          <w:sz w:val="30"/>
          <w:szCs w:val="30"/>
          <w:highlight w:val="none"/>
        </w:rPr>
        <w:t>十二、关于空表的说明</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1.天津市蓟州区东二营镇东辛庄中心小学2023年度政府性基金预算财政拨款收入支出决算表为空表。</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val="en-US" w:eastAsia="zh-CN"/>
        </w:rPr>
        <w:t xml:space="preserve">    </w:t>
      </w:r>
      <w:r>
        <w:rPr>
          <w:rFonts w:hint="eastAsia" w:ascii="Times New Roman" w:hAnsi="Times New Roman" w:eastAsia="仿宋_GB2312" w:cs="仿宋_GB2312"/>
          <w:sz w:val="30"/>
          <w:szCs w:val="30"/>
          <w:highlight w:val="none"/>
          <w:lang w:eastAsia="zh-CN"/>
        </w:rPr>
        <w:t>2.天津市蓟州区东二营镇东辛庄中心小学2023年度国有资本经营预算财政拨款收入支出决算表为空表。</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val="en-US" w:eastAsia="zh-CN"/>
        </w:rPr>
        <w:t xml:space="preserve">    </w:t>
      </w:r>
      <w:r>
        <w:rPr>
          <w:rFonts w:hint="eastAsia" w:ascii="Times New Roman" w:hAnsi="Times New Roman" w:eastAsia="仿宋_GB2312" w:cs="仿宋_GB2312"/>
          <w:sz w:val="30"/>
          <w:szCs w:val="30"/>
          <w:highlight w:val="none"/>
          <w:lang w:eastAsia="zh-CN"/>
        </w:rPr>
        <w:t>3.天津市蓟州区东二营镇东辛庄中心小学2023年度一般公共预算财政拨款“三公”经费支出决算表为空表。</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p>
    <w:p>
      <w:pPr>
        <w:keepNext/>
        <w:keepLines/>
        <w:autoSpaceDE w:val="0"/>
        <w:autoSpaceDN w:val="0"/>
        <w:adjustRightInd w:val="0"/>
        <w:spacing w:line="600" w:lineRule="exact"/>
        <w:ind w:firstLine="600"/>
        <w:jc w:val="left"/>
        <w:outlineLvl w:val="1"/>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第三部分</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lang w:eastAsia="zh-CN"/>
        </w:rPr>
        <w:t>2023</w:t>
      </w:r>
      <w:r>
        <w:rPr>
          <w:rFonts w:hint="eastAsia" w:ascii="Times New Roman" w:hAnsi="Times New Roman" w:eastAsia="方正小标宋简体" w:cs="方正小标宋简体"/>
          <w:kern w:val="44"/>
          <w:sz w:val="44"/>
          <w:szCs w:val="44"/>
          <w:highlight w:val="none"/>
        </w:rPr>
        <w:t>年度部门决算情况说明</w:t>
      </w:r>
    </w:p>
    <w:p>
      <w:pPr>
        <w:autoSpaceDE w:val="0"/>
        <w:autoSpaceDN w:val="0"/>
        <w:adjustRightInd w:val="0"/>
        <w:spacing w:line="580" w:lineRule="exact"/>
        <w:ind w:firstLine="600"/>
        <w:jc w:val="left"/>
        <w:rPr>
          <w:rFonts w:ascii="Times New Roman" w:hAnsi="Times New Roman" w:eastAsia="黑体" w:cs="黑体"/>
          <w:sz w:val="30"/>
          <w:szCs w:val="30"/>
          <w:highlight w:val="none"/>
          <w:lang w:val="zh-CN"/>
        </w:rPr>
      </w:pPr>
    </w:p>
    <w:p>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lang w:val="zh-CN"/>
        </w:rPr>
      </w:pPr>
      <w:r>
        <w:rPr>
          <w:rFonts w:hint="eastAsia" w:ascii="Times New Roman" w:hAnsi="Times New Roman" w:eastAsia="黑体" w:cs="黑体"/>
          <w:b/>
          <w:bCs/>
          <w:kern w:val="0"/>
          <w:sz w:val="30"/>
          <w:szCs w:val="30"/>
          <w:highlight w:val="none"/>
          <w:lang w:val="zh-CN"/>
        </w:rPr>
        <w:t>一、收入支出决算总体情况说明</w:t>
      </w:r>
    </w:p>
    <w:p>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val="zh-CN" w:eastAsia="zh-CN"/>
        </w:rPr>
        <w:t>天津市蓟州区东二营镇东辛庄中心小学2023年度收入、支出决算总计</w:t>
      </w:r>
      <w:r>
        <w:rPr>
          <w:rFonts w:hint="eastAsia" w:ascii="Times New Roman" w:hAnsi="Times New Roman" w:eastAsia="仿宋_GB2312" w:cs="仿宋_GB2312"/>
          <w:sz w:val="30"/>
          <w:szCs w:val="30"/>
          <w:highlight w:val="none"/>
          <w:lang w:eastAsia="zh-CN"/>
        </w:rPr>
        <w:t>5,407,719.48元，与2022年度相比，收、支总计各减少1,066,084.58元，下降16.47%，</w:t>
      </w:r>
      <w:r>
        <w:rPr>
          <w:rFonts w:hint="eastAsia" w:ascii="Times New Roman" w:hAnsi="Times New Roman" w:eastAsia="仿宋_GB2312" w:cs="仿宋_GB2312"/>
          <w:sz w:val="30"/>
          <w:szCs w:val="30"/>
          <w:highlight w:val="none"/>
          <w:lang w:val="zh-CN" w:eastAsia="zh-CN"/>
        </w:rPr>
        <w:t>主要原因是</w:t>
      </w:r>
      <w:r>
        <w:rPr>
          <w:rFonts w:hint="eastAsia" w:ascii="Times New Roman" w:hAnsi="Times New Roman" w:eastAsia="仿宋_GB2312" w:cs="仿宋_GB2312"/>
          <w:sz w:val="30"/>
          <w:szCs w:val="30"/>
          <w:highlight w:val="none"/>
          <w:lang w:eastAsia="zh-CN"/>
        </w:rPr>
        <w:t>：公用经费减少，人员工资减少。</w:t>
      </w:r>
    </w:p>
    <w:p>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二、</w:t>
      </w:r>
      <w:r>
        <w:rPr>
          <w:rFonts w:hint="eastAsia" w:ascii="Times New Roman" w:hAnsi="Times New Roman" w:eastAsia="黑体" w:cs="黑体"/>
          <w:b/>
          <w:bCs/>
          <w:kern w:val="0"/>
          <w:sz w:val="30"/>
          <w:szCs w:val="30"/>
          <w:highlight w:val="none"/>
        </w:rPr>
        <w:t>收入决算情况</w:t>
      </w:r>
      <w:r>
        <w:rPr>
          <w:rFonts w:hint="eastAsia" w:ascii="Times New Roman" w:hAnsi="Times New Roman" w:eastAsia="黑体" w:cs="黑体"/>
          <w:b/>
          <w:bCs/>
          <w:kern w:val="0"/>
          <w:sz w:val="30"/>
          <w:szCs w:val="30"/>
          <w:highlight w:val="none"/>
          <w:lang w:val="zh-CN"/>
        </w:rPr>
        <w:t>说明</w:t>
      </w:r>
    </w:p>
    <w:p>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val="zh-CN"/>
        </w:rPr>
      </w:pPr>
      <w:r>
        <w:rPr>
          <w:rFonts w:hint="eastAsia" w:ascii="Times New Roman" w:hAnsi="Times New Roman" w:eastAsia="仿宋_GB2312" w:cs="仿宋_GB2312"/>
          <w:sz w:val="30"/>
          <w:szCs w:val="30"/>
          <w:highlight w:val="none"/>
          <w:lang w:eastAsia="zh-CN"/>
        </w:rPr>
        <w:t>天津市蓟州区东二营镇东辛庄中心小学</w:t>
      </w:r>
      <w:r>
        <w:rPr>
          <w:rFonts w:hint="eastAsia" w:ascii="Times New Roman" w:hAnsi="Times New Roman" w:eastAsia="仿宋_GB2312" w:cs="Times New Roman"/>
          <w:sz w:val="30"/>
          <w:szCs w:val="30"/>
          <w:highlight w:val="none"/>
          <w:lang w:eastAsia="zh-CN"/>
        </w:rPr>
        <w:t>2023</w:t>
      </w:r>
      <w:r>
        <w:rPr>
          <w:rFonts w:hint="eastAsia" w:ascii="Times New Roman" w:hAnsi="Times New Roman" w:eastAsia="仿宋_GB2312" w:cs="仿宋_GB2312"/>
          <w:sz w:val="30"/>
          <w:szCs w:val="30"/>
          <w:highlight w:val="none"/>
          <w:lang w:val="zh-CN"/>
        </w:rPr>
        <w:t>年度本年收入合计</w:t>
      </w:r>
      <w:r>
        <w:rPr>
          <w:rFonts w:hint="eastAsia" w:ascii="Times New Roman" w:hAnsi="Times New Roman" w:eastAsia="仿宋_GB2312" w:cs="Times New Roman"/>
          <w:sz w:val="30"/>
          <w:szCs w:val="30"/>
          <w:highlight w:val="none"/>
          <w:lang w:eastAsia="zh-CN"/>
        </w:rPr>
        <w:t>5,407,719.48</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w:t>
      </w:r>
      <w:r>
        <w:rPr>
          <w:rFonts w:hint="eastAsia" w:ascii="Times New Roman" w:hAnsi="Times New Roman" w:eastAsia="仿宋_GB2312" w:cs="仿宋_GB2312"/>
          <w:sz w:val="30"/>
          <w:szCs w:val="30"/>
          <w:highlight w:val="none"/>
          <w:lang w:eastAsia="zh-CN"/>
        </w:rPr>
        <w:t>减少1,020,589.58</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kern w:val="0"/>
          <w:sz w:val="30"/>
          <w:szCs w:val="30"/>
          <w:highlight w:val="none"/>
          <w:lang w:val="zh-CN"/>
        </w:rPr>
        <w:t>主要原因是</w:t>
      </w:r>
      <w:r>
        <w:rPr>
          <w:rFonts w:hint="eastAsia"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lang w:eastAsia="zh-CN"/>
        </w:rPr>
        <w:t>公用经费减少，人员工资减少。</w:t>
      </w:r>
      <w:r>
        <w:rPr>
          <w:rFonts w:hint="eastAsia" w:ascii="Times New Roman" w:hAnsi="Times New Roman" w:eastAsia="仿宋_GB2312" w:cs="仿宋_GB2312"/>
          <w:sz w:val="30"/>
          <w:szCs w:val="30"/>
          <w:highlight w:val="none"/>
        </w:rPr>
        <w:t>其中：</w:t>
      </w:r>
      <w:r>
        <w:rPr>
          <w:rFonts w:ascii="Times New Roman" w:hAnsi="Times New Roman" w:eastAsia="仿宋_GB2312" w:cs="仿宋_GB2312"/>
          <w:sz w:val="30"/>
          <w:szCs w:val="30"/>
          <w:highlight w:val="none"/>
          <w:lang w:val="zh-CN"/>
        </w:rPr>
        <w:t>一般公共预算财政拨款收入</w:t>
      </w:r>
      <w:r>
        <w:rPr>
          <w:rFonts w:hint="eastAsia" w:ascii="Times New Roman" w:hAnsi="Times New Roman" w:eastAsia="仿宋_GB2312" w:cs="Times New Roman"/>
          <w:sz w:val="30"/>
          <w:szCs w:val="30"/>
          <w:highlight w:val="none"/>
          <w:lang w:eastAsia="zh-CN"/>
        </w:rPr>
        <w:t>5,301,042.08</w:t>
      </w:r>
      <w:r>
        <w:rPr>
          <w:rFonts w:hint="eastAsia" w:ascii="Times New Roman" w:hAnsi="Times New Roman" w:eastAsia="仿宋_GB2312" w:cs="仿宋_GB2312"/>
          <w:sz w:val="30"/>
          <w:szCs w:val="30"/>
          <w:highlight w:val="none"/>
          <w:lang w:val="zh-CN"/>
        </w:rPr>
        <w:t>元</w:t>
      </w:r>
      <w:r>
        <w:rPr>
          <w:rFonts w:ascii="Times New Roman" w:hAnsi="Times New Roman" w:eastAsia="仿宋_GB2312" w:cs="仿宋_GB2312"/>
          <w:sz w:val="30"/>
          <w:szCs w:val="30"/>
          <w:highlight w:val="none"/>
          <w:lang w:val="zh-CN"/>
        </w:rPr>
        <w:t>，占</w:t>
      </w:r>
      <w:r>
        <w:rPr>
          <w:rFonts w:hint="eastAsia" w:ascii="Times New Roman" w:hAnsi="Times New Roman" w:eastAsia="仿宋_GB2312" w:cs="Times New Roman"/>
          <w:sz w:val="30"/>
          <w:szCs w:val="30"/>
          <w:highlight w:val="none"/>
          <w:lang w:eastAsia="zh-CN"/>
        </w:rPr>
        <w:t>98.03</w:t>
      </w:r>
      <w:r>
        <w:rPr>
          <w:rFonts w:hint="eastAsia" w:ascii="Times New Roman" w:hAnsi="Times New Roman" w:eastAsia="宋体" w:cs="Times New Roman"/>
          <w:sz w:val="30"/>
          <w:szCs w:val="30"/>
          <w:highlight w:val="none"/>
          <w:lang w:eastAsia="zh-CN"/>
        </w:rPr>
        <w:t>%；</w:t>
      </w:r>
      <w:r>
        <w:rPr>
          <w:rFonts w:ascii="Times New Roman" w:hAnsi="Times New Roman" w:eastAsia="仿宋_GB2312" w:cs="仿宋_GB2312"/>
          <w:sz w:val="30"/>
          <w:szCs w:val="30"/>
          <w:highlight w:val="none"/>
          <w:lang w:val="zh-CN"/>
        </w:rPr>
        <w:t>政府性基金预算财政拨款收入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国有资本经营预算财政拨款收入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财政专户管理资金收入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事业收入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事业单位经营收入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上级补助收入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p>
    <w:p>
      <w:pPr>
        <w:autoSpaceDE w:val="0"/>
        <w:autoSpaceDN w:val="0"/>
        <w:adjustRightInd w:val="0"/>
        <w:spacing w:line="600" w:lineRule="exact"/>
        <w:jc w:val="left"/>
        <w:rPr>
          <w:rFonts w:hint="eastAsia" w:ascii="Times New Roman" w:hAnsi="Times New Roman" w:eastAsia="仿宋_GB2312" w:cs="仿宋_GB2312"/>
          <w:sz w:val="30"/>
          <w:szCs w:val="30"/>
          <w:highlight w:val="none"/>
          <w:lang w:val="en-US" w:eastAsia="zh-CN"/>
        </w:rPr>
      </w:pPr>
      <w:r>
        <w:rPr>
          <w:rFonts w:eastAsia="仿宋_GB2312"/>
          <w:sz w:val="30"/>
          <w:szCs w:val="30"/>
          <w:highlight w:val="none"/>
        </w:rPr>
        <w:t>附属单位上缴收入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其他收入</w:t>
      </w:r>
      <w:r>
        <w:rPr>
          <w:rFonts w:hint="eastAsia" w:ascii="Times New Roman" w:hAnsi="Times New Roman" w:eastAsia="仿宋_GB2312" w:cs="仿宋_GB2312"/>
          <w:sz w:val="30"/>
          <w:szCs w:val="30"/>
          <w:highlight w:val="none"/>
          <w:lang w:val="zh-CN"/>
        </w:rPr>
        <w:t>106,677.40元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1.97%</w:t>
      </w:r>
      <w:r>
        <w:rPr>
          <w:rFonts w:hint="eastAsia" w:ascii="Times New Roman" w:hAnsi="Times New Roman" w:eastAsia="仿宋_GB2312" w:cs="仿宋_GB2312"/>
          <w:sz w:val="30"/>
          <w:szCs w:val="30"/>
          <w:highlight w:val="none"/>
          <w:lang w:val="zh-CN" w:eastAsia="zh-CN"/>
        </w:rPr>
        <w:t>。</w:t>
      </w:r>
    </w:p>
    <w:p>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三、支出</w:t>
      </w:r>
      <w:r>
        <w:rPr>
          <w:rFonts w:hint="eastAsia" w:ascii="Times New Roman" w:hAnsi="Times New Roman" w:eastAsia="黑体" w:cs="黑体"/>
          <w:b/>
          <w:bCs/>
          <w:kern w:val="0"/>
          <w:sz w:val="30"/>
          <w:szCs w:val="30"/>
          <w:highlight w:val="none"/>
        </w:rPr>
        <w:t>决算情况说明</w:t>
      </w:r>
    </w:p>
    <w:p>
      <w:pPr>
        <w:autoSpaceDE w:val="0"/>
        <w:autoSpaceDN w:val="0"/>
        <w:adjustRightInd w:val="0"/>
        <w:spacing w:line="580" w:lineRule="exact"/>
        <w:ind w:firstLine="600"/>
        <w:jc w:val="left"/>
        <w:rPr>
          <w:rFonts w:ascii="Times New Roman" w:hAnsi="Times New Roman" w:eastAsia="黑体" w:cs="黑体"/>
          <w:sz w:val="30"/>
          <w:szCs w:val="30"/>
          <w:highlight w:val="none"/>
          <w:lang w:val="zh-CN"/>
        </w:rPr>
      </w:pPr>
      <w:r>
        <w:rPr>
          <w:rFonts w:hint="eastAsia" w:ascii="Times New Roman" w:hAnsi="Times New Roman" w:eastAsia="仿宋_GB2312" w:cs="仿宋_GB2312"/>
          <w:sz w:val="30"/>
          <w:szCs w:val="30"/>
          <w:highlight w:val="none"/>
          <w:lang w:eastAsia="zh-CN"/>
        </w:rPr>
        <w:t>天津市蓟州区东二营镇东辛庄中心小学</w:t>
      </w:r>
      <w:r>
        <w:rPr>
          <w:rFonts w:hint="eastAsia" w:ascii="Times New Roman" w:hAnsi="Times New Roman" w:eastAsia="宋体" w:cs="宋体"/>
          <w:sz w:val="30"/>
          <w:szCs w:val="30"/>
          <w:highlight w:val="none"/>
          <w:lang w:eastAsia="zh-CN"/>
        </w:rPr>
        <w:t>2023</w:t>
      </w:r>
      <w:r>
        <w:rPr>
          <w:rFonts w:hint="eastAsia" w:ascii="Times New Roman" w:hAnsi="Times New Roman" w:eastAsia="仿宋_GB2312" w:cs="仿宋_GB2312"/>
          <w:sz w:val="30"/>
          <w:szCs w:val="30"/>
          <w:highlight w:val="none"/>
        </w:rPr>
        <w:t>年度本年支出合计</w:t>
      </w:r>
      <w:r>
        <w:rPr>
          <w:rFonts w:hint="eastAsia" w:ascii="Times New Roman" w:hAnsi="Times New Roman" w:eastAsia="仿宋_GB2312" w:cs="仿宋_GB2312"/>
          <w:sz w:val="30"/>
          <w:szCs w:val="30"/>
          <w:highlight w:val="none"/>
          <w:lang w:eastAsia="zh-CN"/>
        </w:rPr>
        <w:t>5,407,719.48</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w:t>
      </w:r>
      <w:r>
        <w:rPr>
          <w:rFonts w:hint="eastAsia" w:ascii="Times New Roman" w:hAnsi="Times New Roman" w:eastAsia="仿宋_GB2312" w:cs="仿宋_GB2312"/>
          <w:sz w:val="30"/>
          <w:szCs w:val="30"/>
          <w:highlight w:val="none"/>
          <w:lang w:val="en-US" w:eastAsia="zh-CN"/>
        </w:rPr>
        <w:t>减少</w:t>
      </w:r>
      <w:r>
        <w:rPr>
          <w:rFonts w:hint="eastAsia" w:ascii="Times New Roman" w:hAnsi="Times New Roman" w:eastAsia="仿宋_GB2312" w:cs="仿宋_GB2312"/>
          <w:sz w:val="30"/>
          <w:szCs w:val="30"/>
          <w:highlight w:val="none"/>
          <w:lang w:eastAsia="zh-CN"/>
        </w:rPr>
        <w:t>1,066,084.58</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sz w:val="30"/>
          <w:szCs w:val="30"/>
          <w:highlight w:val="none"/>
          <w:lang w:val="zh-CN"/>
        </w:rPr>
        <w:t>主要原因是</w:t>
      </w:r>
      <w:r>
        <w:rPr>
          <w:rFonts w:hint="eastAsia" w:ascii="Times New Roman" w:hAnsi="Times New Roman" w:eastAsia="仿宋_GB2312" w:cs="仿宋_GB2312"/>
          <w:sz w:val="30"/>
          <w:szCs w:val="30"/>
          <w:highlight w:val="none"/>
        </w:rPr>
        <w:t>：</w:t>
      </w:r>
      <w:r>
        <w:rPr>
          <w:rFonts w:hint="eastAsia" w:ascii="Times New Roman" w:hAnsi="Times New Roman" w:eastAsia="仿宋_GB2312" w:cs="仿宋_GB2312"/>
          <w:kern w:val="0"/>
          <w:sz w:val="30"/>
          <w:szCs w:val="30"/>
          <w:highlight w:val="none"/>
          <w:lang w:eastAsia="zh-CN"/>
        </w:rPr>
        <w:t>公用经费减少，人员工资减少。</w:t>
      </w:r>
      <w:r>
        <w:rPr>
          <w:rFonts w:hint="eastAsia" w:ascii="Times New Roman" w:hAnsi="Times New Roman" w:eastAsia="仿宋_GB2312" w:cs="仿宋_GB2312"/>
          <w:sz w:val="30"/>
          <w:szCs w:val="30"/>
          <w:highlight w:val="none"/>
        </w:rPr>
        <w:t>其中：</w:t>
      </w:r>
      <w:r>
        <w:rPr>
          <w:rFonts w:ascii="Times New Roman" w:hAnsi="Times New Roman" w:eastAsia="仿宋_GB2312" w:cs="仿宋_GB2312"/>
          <w:sz w:val="30"/>
          <w:szCs w:val="30"/>
          <w:highlight w:val="none"/>
        </w:rPr>
        <w:t>基本支出</w:t>
      </w:r>
      <w:r>
        <w:rPr>
          <w:rFonts w:hint="eastAsia" w:ascii="Times New Roman" w:hAnsi="Times New Roman" w:eastAsia="仿宋_GB2312" w:cs="仿宋_GB2312"/>
          <w:sz w:val="30"/>
          <w:szCs w:val="30"/>
          <w:highlight w:val="none"/>
          <w:lang w:eastAsia="zh-CN"/>
        </w:rPr>
        <w:t>5,407,719.48元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w:t>
      </w:r>
      <w:r>
        <w:rPr>
          <w:rFonts w:hint="eastAsia" w:ascii="Times New Roman" w:hAnsi="Times New Roman" w:eastAsia="仿宋_GB2312" w:cs="仿宋_GB2312"/>
          <w:sz w:val="30"/>
          <w:szCs w:val="30"/>
          <w:highlight w:val="none"/>
          <w:lang w:val="en-US" w:eastAsia="zh-CN"/>
        </w:rPr>
        <w:t>100.0</w:t>
      </w:r>
      <w:r>
        <w:rPr>
          <w:rFonts w:hint="eastAsia" w:ascii="Times New Roman" w:hAnsi="Times New Roman" w:eastAsia="仿宋_GB2312" w:cs="仿宋_GB2312"/>
          <w:sz w:val="30"/>
          <w:szCs w:val="30"/>
          <w:highlight w:val="none"/>
          <w:lang w:eastAsia="zh-CN"/>
        </w:rPr>
        <w:t>%；</w:t>
      </w:r>
      <w:r>
        <w:rPr>
          <w:rFonts w:ascii="Times New Roman" w:hAnsi="Times New Roman" w:eastAsia="仿宋_GB2312" w:cs="仿宋_GB2312"/>
          <w:sz w:val="30"/>
          <w:szCs w:val="30"/>
          <w:highlight w:val="none"/>
        </w:rPr>
        <w:t>项目支出</w:t>
      </w:r>
      <w:r>
        <w:rPr>
          <w:rFonts w:hint="eastAsia" w:ascii="Times New Roman" w:hAnsi="Times New Roman" w:eastAsia="仿宋_GB2312" w:cs="仿宋_GB2312"/>
          <w:sz w:val="30"/>
          <w:szCs w:val="30"/>
          <w:highlight w:val="none"/>
          <w:lang w:eastAsia="zh-CN"/>
        </w:rPr>
        <w:t>0.00元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占0.0%；</w:t>
      </w:r>
      <w:r>
        <w:rPr>
          <w:rFonts w:ascii="Times New Roman" w:hAnsi="Times New Roman" w:eastAsia="仿宋_GB2312" w:cs="仿宋_GB2312"/>
          <w:sz w:val="30"/>
          <w:szCs w:val="30"/>
          <w:highlight w:val="none"/>
        </w:rPr>
        <w:t>上缴上级支出</w:t>
      </w:r>
      <w:r>
        <w:rPr>
          <w:rFonts w:hint="eastAsia" w:ascii="Times New Roman" w:hAnsi="Times New Roman" w:eastAsia="仿宋_GB2312" w:cs="仿宋_GB2312"/>
          <w:sz w:val="30"/>
          <w:szCs w:val="30"/>
          <w:highlight w:val="none"/>
          <w:lang w:eastAsia="zh-CN"/>
        </w:rPr>
        <w:t>0.00元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占0.0%；</w:t>
      </w:r>
      <w:r>
        <w:rPr>
          <w:rFonts w:ascii="Times New Roman" w:hAnsi="Times New Roman" w:eastAsia="仿宋_GB2312" w:cs="仿宋_GB2312"/>
          <w:sz w:val="30"/>
          <w:szCs w:val="30"/>
          <w:highlight w:val="none"/>
        </w:rPr>
        <w:t>经营支出</w:t>
      </w:r>
      <w:r>
        <w:rPr>
          <w:rFonts w:hint="eastAsia" w:ascii="Times New Roman" w:hAnsi="Times New Roman" w:eastAsia="仿宋_GB2312" w:cs="仿宋_GB2312"/>
          <w:sz w:val="30"/>
          <w:szCs w:val="30"/>
          <w:highlight w:val="none"/>
          <w:lang w:eastAsia="zh-CN"/>
        </w:rPr>
        <w:t>0.00元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占0.0%；</w:t>
      </w:r>
      <w:r>
        <w:rPr>
          <w:rFonts w:ascii="Times New Roman" w:hAnsi="Times New Roman" w:eastAsia="仿宋_GB2312" w:cs="仿宋_GB2312"/>
          <w:sz w:val="30"/>
          <w:szCs w:val="30"/>
          <w:highlight w:val="none"/>
        </w:rPr>
        <w:t>对附属单位补助支出</w:t>
      </w:r>
      <w:r>
        <w:rPr>
          <w:rFonts w:hint="eastAsia" w:ascii="Times New Roman" w:hAnsi="Times New Roman" w:eastAsia="仿宋_GB2312" w:cs="仿宋_GB2312"/>
          <w:sz w:val="30"/>
          <w:szCs w:val="30"/>
          <w:highlight w:val="none"/>
          <w:lang w:eastAsia="zh-CN"/>
        </w:rPr>
        <w:t>0.00元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占0.0%。</w:t>
      </w:r>
    </w:p>
    <w:p>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lang w:val="zh-CN"/>
        </w:rPr>
      </w:pPr>
      <w:r>
        <w:rPr>
          <w:rFonts w:hint="eastAsia" w:ascii="Times New Roman" w:hAnsi="Times New Roman" w:eastAsia="黑体" w:cs="黑体"/>
          <w:b/>
          <w:bCs/>
          <w:kern w:val="0"/>
          <w:sz w:val="30"/>
          <w:szCs w:val="30"/>
          <w:highlight w:val="none"/>
          <w:lang w:val="zh-CN"/>
        </w:rPr>
        <w:t>四、财政拨款收支决算总体情况说明</w:t>
      </w:r>
    </w:p>
    <w:p>
      <w:pPr>
        <w:autoSpaceDE w:val="0"/>
        <w:autoSpaceDN w:val="0"/>
        <w:adjustRightInd w:val="0"/>
        <w:spacing w:line="580" w:lineRule="exact"/>
        <w:ind w:firstLine="600"/>
        <w:jc w:val="left"/>
        <w:rPr>
          <w:rFonts w:ascii="Times New Roman" w:hAnsi="Times New Roman" w:eastAsia="仿宋_GB2312" w:cs="仿宋_GB2312"/>
          <w:sz w:val="30"/>
          <w:szCs w:val="30"/>
          <w:highlight w:val="none"/>
        </w:rPr>
      </w:pPr>
      <w:r>
        <w:rPr>
          <w:rFonts w:hint="eastAsia" w:ascii="Times New Roman" w:hAnsi="Times New Roman" w:eastAsia="仿宋_GB2312" w:cs="仿宋_GB2312"/>
          <w:sz w:val="30"/>
          <w:szCs w:val="30"/>
          <w:highlight w:val="none"/>
          <w:lang w:eastAsia="zh-CN"/>
        </w:rPr>
        <w:t>天津市蓟州区东二营镇东辛庄中心小学</w:t>
      </w:r>
      <w:r>
        <w:rPr>
          <w:rFonts w:hint="eastAsia" w:ascii="Times New Roman" w:hAnsi="Times New Roman" w:eastAsia="宋体" w:cs="宋体"/>
          <w:sz w:val="30"/>
          <w:szCs w:val="30"/>
          <w:highlight w:val="none"/>
          <w:lang w:eastAsia="zh-CN"/>
        </w:rPr>
        <w:t>2023</w:t>
      </w:r>
      <w:r>
        <w:rPr>
          <w:rFonts w:hint="eastAsia" w:ascii="Times New Roman" w:hAnsi="Times New Roman" w:eastAsia="仿宋_GB2312" w:cs="仿宋_GB2312"/>
          <w:sz w:val="30"/>
          <w:szCs w:val="30"/>
          <w:highlight w:val="none"/>
        </w:rPr>
        <w:t>年度财政拨款收入、支出决算总计</w:t>
      </w:r>
      <w:r>
        <w:rPr>
          <w:rFonts w:hint="eastAsia" w:ascii="Times New Roman" w:hAnsi="Times New Roman" w:eastAsia="仿宋_GB2312" w:cs="Times New Roman"/>
          <w:sz w:val="30"/>
          <w:szCs w:val="30"/>
          <w:highlight w:val="none"/>
          <w:lang w:val="zh-CN"/>
        </w:rPr>
        <w:t>5,301,042.08</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年度相比，财政拨款收、支总计各</w:t>
      </w:r>
      <w:r>
        <w:rPr>
          <w:rFonts w:hint="eastAsia" w:ascii="Times New Roman" w:hAnsi="Times New Roman" w:eastAsia="仿宋_GB2312" w:cs="仿宋_GB2312"/>
          <w:sz w:val="30"/>
          <w:szCs w:val="30"/>
          <w:highlight w:val="none"/>
          <w:lang w:val="en-US" w:eastAsia="zh-CN"/>
        </w:rPr>
        <w:t>减少</w:t>
      </w:r>
      <w:r>
        <w:rPr>
          <w:rFonts w:hint="eastAsia" w:ascii="Times New Roman" w:hAnsi="Times New Roman" w:eastAsia="仿宋_GB2312" w:cs="仿宋_GB2312"/>
          <w:sz w:val="30"/>
          <w:szCs w:val="30"/>
          <w:highlight w:val="none"/>
          <w:lang w:eastAsia="zh-CN"/>
        </w:rPr>
        <w:t>1,037,095.98</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sz w:val="30"/>
          <w:szCs w:val="30"/>
          <w:highlight w:val="none"/>
          <w:lang w:val="en-US" w:eastAsia="zh-CN"/>
        </w:rPr>
        <w:t>下降</w:t>
      </w:r>
      <w:r>
        <w:rPr>
          <w:rFonts w:hint="eastAsia" w:ascii="Times New Roman" w:hAnsi="Times New Roman" w:eastAsia="仿宋_GB2312" w:cs="仿宋_GB2312"/>
          <w:sz w:val="30"/>
          <w:szCs w:val="30"/>
          <w:highlight w:val="none"/>
          <w:lang w:eastAsia="zh-CN"/>
        </w:rPr>
        <w:t>16.36</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val="zh-CN"/>
        </w:rPr>
        <w:t>主要原因是：</w:t>
      </w:r>
      <w:r>
        <w:rPr>
          <w:rFonts w:hint="eastAsia" w:ascii="Times New Roman" w:hAnsi="Times New Roman" w:eastAsia="仿宋_GB2312" w:cs="仿宋_GB2312"/>
          <w:sz w:val="30"/>
          <w:szCs w:val="30"/>
          <w:highlight w:val="none"/>
          <w:lang w:eastAsia="zh-CN"/>
        </w:rPr>
        <w:t>公用经费减少，人员工资减少。</w:t>
      </w:r>
    </w:p>
    <w:p>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lang w:val="zh-CN"/>
        </w:rPr>
      </w:pPr>
      <w:r>
        <w:rPr>
          <w:rFonts w:hint="eastAsia" w:ascii="Times New Roman" w:hAnsi="Times New Roman" w:eastAsia="黑体" w:cs="黑体"/>
          <w:b/>
          <w:bCs/>
          <w:kern w:val="0"/>
          <w:sz w:val="30"/>
          <w:szCs w:val="30"/>
          <w:highlight w:val="none"/>
          <w:lang w:val="zh-CN"/>
        </w:rPr>
        <w:t>五、一般公共预算财政拨款支出决算情况说明</w:t>
      </w:r>
    </w:p>
    <w:p>
      <w:pPr>
        <w:autoSpaceDE w:val="0"/>
        <w:autoSpaceDN w:val="0"/>
        <w:adjustRightInd w:val="0"/>
        <w:spacing w:line="600" w:lineRule="exact"/>
        <w:ind w:left="480"/>
        <w:jc w:val="left"/>
        <w:rPr>
          <w:rFonts w:hint="eastAsia"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（一）总体情况</w:t>
      </w:r>
    </w:p>
    <w:p>
      <w:pPr>
        <w:autoSpaceDE w:val="0"/>
        <w:autoSpaceDN w:val="0"/>
        <w:adjustRightInd w:val="0"/>
        <w:spacing w:line="600" w:lineRule="exact"/>
        <w:ind w:firstLine="72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天津市蓟州区东二营镇东辛庄中心小学2023年度部门决算一般公共预算财政拨款支出</w:t>
      </w:r>
      <w:r>
        <w:rPr>
          <w:rFonts w:hint="eastAsia" w:ascii="Times New Roman" w:hAnsi="Times New Roman" w:eastAsia="仿宋_GB2312" w:cs="仿宋_GB2312"/>
          <w:sz w:val="30"/>
          <w:szCs w:val="30"/>
          <w:highlight w:val="none"/>
          <w:lang w:val="zh-CN" w:eastAsia="zh-CN"/>
        </w:rPr>
        <w:t>合</w:t>
      </w:r>
      <w:r>
        <w:rPr>
          <w:rFonts w:hint="eastAsia" w:ascii="Times New Roman" w:hAnsi="Times New Roman" w:eastAsia="仿宋_GB2312" w:cs="仿宋_GB2312"/>
          <w:sz w:val="30"/>
          <w:szCs w:val="30"/>
          <w:highlight w:val="none"/>
          <w:lang w:eastAsia="zh-CN"/>
        </w:rPr>
        <w:t>计5,301,042.08元，占本年支出合计的98.03%，与2022年度相比，一般公共预算财政拨款支出</w:t>
      </w:r>
      <w:r>
        <w:rPr>
          <w:rFonts w:hint="eastAsia" w:ascii="Times New Roman" w:hAnsi="Times New Roman" w:eastAsia="仿宋_GB2312" w:cs="仿宋_GB2312"/>
          <w:sz w:val="30"/>
          <w:szCs w:val="30"/>
          <w:highlight w:val="none"/>
          <w:lang w:val="en-US" w:eastAsia="zh-CN"/>
        </w:rPr>
        <w:t>减少</w:t>
      </w:r>
      <w:r>
        <w:rPr>
          <w:rFonts w:hint="eastAsia" w:ascii="Times New Roman" w:hAnsi="Times New Roman" w:eastAsia="仿宋_GB2312" w:cs="仿宋_GB2312"/>
          <w:sz w:val="30"/>
          <w:szCs w:val="30"/>
          <w:highlight w:val="none"/>
          <w:lang w:eastAsia="zh-CN"/>
        </w:rPr>
        <w:t>1,037,095.98元，</w:t>
      </w:r>
      <w:r>
        <w:rPr>
          <w:rFonts w:hint="eastAsia" w:ascii="Times New Roman" w:hAnsi="Times New Roman" w:eastAsia="仿宋_GB2312" w:cs="仿宋_GB2312"/>
          <w:sz w:val="30"/>
          <w:szCs w:val="30"/>
          <w:highlight w:val="none"/>
          <w:lang w:val="en-US" w:eastAsia="zh-CN"/>
        </w:rPr>
        <w:t>下降</w:t>
      </w:r>
      <w:r>
        <w:rPr>
          <w:rFonts w:hint="eastAsia" w:ascii="Times New Roman" w:hAnsi="Times New Roman" w:eastAsia="仿宋_GB2312" w:cs="仿宋_GB2312"/>
          <w:sz w:val="30"/>
          <w:szCs w:val="30"/>
          <w:highlight w:val="none"/>
          <w:lang w:eastAsia="zh-CN"/>
        </w:rPr>
        <w:t>16.36%，</w:t>
      </w:r>
      <w:r>
        <w:rPr>
          <w:rFonts w:hint="eastAsia" w:ascii="Times New Roman" w:hAnsi="Times New Roman" w:eastAsia="仿宋_GB2312" w:cs="仿宋_GB2312"/>
          <w:sz w:val="30"/>
          <w:szCs w:val="30"/>
          <w:highlight w:val="none"/>
          <w:lang w:val="zh-CN" w:eastAsia="zh-CN"/>
        </w:rPr>
        <w:t>主要原因是</w:t>
      </w:r>
      <w:r>
        <w:rPr>
          <w:rFonts w:hint="eastAsia" w:ascii="Times New Roman" w:hAnsi="Times New Roman" w:eastAsia="仿宋_GB2312" w:cs="仿宋_GB2312"/>
          <w:sz w:val="30"/>
          <w:szCs w:val="30"/>
          <w:highlight w:val="none"/>
          <w:lang w:eastAsia="zh-CN"/>
        </w:rPr>
        <w:t>：公用经费减少，人员工资减少。</w:t>
      </w:r>
    </w:p>
    <w:p>
      <w:pPr>
        <w:autoSpaceDE w:val="0"/>
        <w:autoSpaceDN w:val="0"/>
        <w:adjustRightInd w:val="0"/>
        <w:spacing w:line="600" w:lineRule="exact"/>
        <w:ind w:left="480"/>
        <w:jc w:val="left"/>
        <w:rPr>
          <w:rFonts w:hint="eastAsia"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（二）</w:t>
      </w:r>
      <w:r>
        <w:rPr>
          <w:rFonts w:hint="eastAsia" w:ascii="Times New Roman" w:hAnsi="Times New Roman" w:eastAsia="楷体" w:cs="楷体"/>
          <w:b/>
          <w:bCs/>
          <w:kern w:val="0"/>
          <w:sz w:val="30"/>
          <w:szCs w:val="30"/>
          <w:highlight w:val="none"/>
          <w:lang w:val="zh-CN"/>
        </w:rPr>
        <w:t>支出结构</w:t>
      </w:r>
      <w:r>
        <w:rPr>
          <w:rFonts w:hint="eastAsia" w:ascii="Times New Roman" w:hAnsi="Times New Roman" w:eastAsia="楷体" w:cs="楷体"/>
          <w:b/>
          <w:bCs/>
          <w:kern w:val="0"/>
          <w:sz w:val="30"/>
          <w:szCs w:val="30"/>
          <w:highlight w:val="none"/>
        </w:rPr>
        <w:t>情况</w:t>
      </w:r>
    </w:p>
    <w:p>
      <w:pPr>
        <w:autoSpaceDE w:val="0"/>
        <w:autoSpaceDN w:val="0"/>
        <w:adjustRightInd w:val="0"/>
        <w:spacing w:line="600" w:lineRule="exact"/>
        <w:ind w:firstLine="72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2023</w:t>
      </w:r>
      <w:r>
        <w:rPr>
          <w:rFonts w:hint="eastAsia" w:ascii="Times New Roman" w:hAnsi="Times New Roman" w:eastAsia="仿宋_GB2312" w:cs="仿宋_GB2312"/>
          <w:sz w:val="30"/>
          <w:szCs w:val="30"/>
          <w:highlight w:val="none"/>
        </w:rPr>
        <w:t>年度一般公共预算财政拨款支出</w:t>
      </w:r>
      <w:r>
        <w:rPr>
          <w:rFonts w:hint="eastAsia" w:ascii="Times New Roman" w:hAnsi="Times New Roman" w:eastAsia="仿宋_GB2312" w:cs="Times New Roman"/>
          <w:sz w:val="30"/>
          <w:szCs w:val="30"/>
          <w:highlight w:val="none"/>
          <w:lang w:eastAsia="zh-CN"/>
        </w:rPr>
        <w:t>5,301,042.08</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kern w:val="0"/>
          <w:sz w:val="30"/>
          <w:szCs w:val="30"/>
          <w:highlight w:val="none"/>
        </w:rPr>
        <w:t>主要用于以下方面：</w:t>
      </w:r>
      <w:r>
        <w:rPr>
          <w:rFonts w:hint="eastAsia" w:ascii="Times New Roman" w:hAnsi="Times New Roman" w:eastAsia="仿宋_GB2312" w:cs="仿宋_GB2312"/>
          <w:sz w:val="30"/>
          <w:szCs w:val="30"/>
          <w:highlight w:val="none"/>
          <w:lang w:eastAsia="zh-CN"/>
        </w:rPr>
        <w:t>教育支出4,740,710.24元，占89.4%，社会保障和就业支出560,331.84元，占10.6%。</w:t>
      </w:r>
    </w:p>
    <w:p>
      <w:pPr>
        <w:autoSpaceDE w:val="0"/>
        <w:autoSpaceDN w:val="0"/>
        <w:adjustRightInd w:val="0"/>
        <w:spacing w:line="600" w:lineRule="exact"/>
        <w:ind w:left="480"/>
        <w:jc w:val="left"/>
        <w:rPr>
          <w:rFonts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（三）具体情况</w:t>
      </w:r>
    </w:p>
    <w:p>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hint="eastAsia" w:ascii="Times New Roman" w:hAnsi="Times New Roman" w:eastAsia="仿宋_GB2312" w:cs="仿宋_GB2312"/>
          <w:kern w:val="0"/>
          <w:sz w:val="30"/>
          <w:szCs w:val="30"/>
          <w:highlight w:val="none"/>
          <w:lang w:eastAsia="zh-CN"/>
        </w:rPr>
        <w:t>2023</w:t>
      </w:r>
      <w:r>
        <w:rPr>
          <w:rFonts w:hint="eastAsia" w:ascii="Times New Roman" w:hAnsi="Times New Roman" w:eastAsia="仿宋_GB2312" w:cs="仿宋_GB2312"/>
          <w:kern w:val="0"/>
          <w:sz w:val="30"/>
          <w:szCs w:val="30"/>
          <w:highlight w:val="none"/>
        </w:rPr>
        <w:t>年度一般公共预算财政拨款支出年初预算为</w:t>
      </w:r>
      <w:r>
        <w:rPr>
          <w:rFonts w:hint="eastAsia" w:ascii="Times New Roman" w:hAnsi="Times New Roman" w:eastAsia="仿宋_GB2312" w:cs="Times New Roman"/>
          <w:sz w:val="30"/>
          <w:szCs w:val="30"/>
          <w:highlight w:val="none"/>
          <w:lang w:eastAsia="zh-CN"/>
        </w:rPr>
        <w:t>4,940,282.12</w:t>
      </w:r>
      <w:r>
        <w:rPr>
          <w:rFonts w:hint="eastAsia" w:ascii="Times New Roman" w:hAnsi="Times New Roman" w:eastAsia="仿宋_GB2312" w:cs="仿宋_GB2312"/>
          <w:kern w:val="0"/>
          <w:sz w:val="30"/>
          <w:szCs w:val="30"/>
          <w:highlight w:val="none"/>
        </w:rPr>
        <w:t>元，支出决算为</w:t>
      </w:r>
      <w:r>
        <w:rPr>
          <w:rFonts w:hint="eastAsia" w:ascii="Times New Roman" w:hAnsi="Times New Roman" w:eastAsia="仿宋_GB2312" w:cs="Times New Roman"/>
          <w:sz w:val="30"/>
          <w:szCs w:val="30"/>
          <w:highlight w:val="none"/>
          <w:lang w:eastAsia="zh-CN"/>
        </w:rPr>
        <w:t>5,301,042.08</w:t>
      </w:r>
      <w:r>
        <w:rPr>
          <w:rFonts w:hint="eastAsia" w:ascii="Times New Roman" w:hAnsi="Times New Roman" w:eastAsia="仿宋_GB2312" w:cs="仿宋_GB2312"/>
          <w:kern w:val="0"/>
          <w:sz w:val="30"/>
          <w:szCs w:val="30"/>
          <w:highlight w:val="none"/>
        </w:rPr>
        <w:t>元，完成年初预算的</w:t>
      </w:r>
      <w:r>
        <w:rPr>
          <w:rFonts w:hint="eastAsia" w:ascii="Times New Roman" w:hAnsi="Times New Roman" w:eastAsia="仿宋_GB2312" w:cs="Times New Roman"/>
          <w:sz w:val="30"/>
          <w:szCs w:val="30"/>
          <w:highlight w:val="none"/>
          <w:lang w:eastAsia="zh-CN"/>
        </w:rPr>
        <w:t>107.3%</w:t>
      </w:r>
      <w:r>
        <w:rPr>
          <w:rFonts w:hint="eastAsia" w:ascii="Times New Roman" w:hAnsi="Times New Roman" w:eastAsia="仿宋_GB2312" w:cs="仿宋_GB2312"/>
          <w:kern w:val="0"/>
          <w:sz w:val="30"/>
          <w:szCs w:val="30"/>
          <w:highlight w:val="none"/>
        </w:rPr>
        <w:t>。其中：</w:t>
      </w:r>
    </w:p>
    <w:p>
      <w:pPr>
        <w:autoSpaceDE w:val="0"/>
        <w:autoSpaceDN w:val="0"/>
        <w:adjustRightInd w:val="0"/>
        <w:spacing w:line="600" w:lineRule="exact"/>
        <w:ind w:firstLine="600" w:firstLineChars="200"/>
        <w:jc w:val="left"/>
        <w:rPr>
          <w:rFonts w:hint="eastAsia" w:ascii="Times New Roman" w:hAnsi="Times New Roman" w:eastAsia="黑体" w:cs="黑体"/>
          <w:b/>
          <w:bCs/>
          <w:kern w:val="0"/>
          <w:sz w:val="30"/>
          <w:szCs w:val="30"/>
          <w:highlight w:val="none"/>
        </w:rPr>
      </w:pPr>
      <w:r>
        <w:rPr>
          <w:rFonts w:hint="eastAsia" w:ascii="Times New Roman" w:hAnsi="Times New Roman" w:eastAsia="仿宋_GB2312" w:cs="仿宋_GB2312"/>
          <w:sz w:val="30"/>
          <w:szCs w:val="30"/>
          <w:highlight w:val="none"/>
          <w:lang w:eastAsia="zh-CN"/>
        </w:rPr>
        <w:t xml:space="preserve">1. </w:t>
      </w:r>
      <w:r>
        <w:rPr>
          <w:rFonts w:hint="eastAsia" w:ascii="Times New Roman" w:hAnsi="Times New Roman" w:eastAsia="仿宋_GB2312" w:cs="仿宋_GB2312"/>
          <w:sz w:val="30"/>
          <w:szCs w:val="30"/>
        </w:rPr>
        <w:t>.教育支出（类）普通教育支出（款）</w:t>
      </w:r>
      <w:r>
        <w:rPr>
          <w:rFonts w:hint="eastAsia" w:ascii="Times New Roman" w:hAnsi="Times New Roman" w:eastAsia="仿宋_GB2312" w:cs="仿宋_GB2312"/>
          <w:sz w:val="30"/>
          <w:szCs w:val="30"/>
          <w:highlight w:val="none"/>
          <w:lang w:eastAsia="zh-CN"/>
        </w:rPr>
        <w:t>小学教育</w:t>
      </w:r>
      <w:r>
        <w:rPr>
          <w:rFonts w:hint="eastAsia" w:ascii="Times New Roman" w:hAnsi="Times New Roman" w:eastAsia="仿宋_GB2312" w:cs="仿宋_GB2312"/>
          <w:sz w:val="30"/>
          <w:szCs w:val="30"/>
        </w:rPr>
        <w:t>（项）</w:t>
      </w:r>
      <w:r>
        <w:rPr>
          <w:rFonts w:hint="eastAsia" w:ascii="Times New Roman" w:hAnsi="Times New Roman" w:eastAsia="仿宋_GB2312" w:cs="仿宋_GB2312"/>
          <w:sz w:val="30"/>
          <w:szCs w:val="30"/>
          <w:highlight w:val="none"/>
          <w:lang w:eastAsia="zh-CN"/>
        </w:rPr>
        <w:t>年初预算为4,206,532.92元，支出决算</w:t>
      </w:r>
      <w:r>
        <w:rPr>
          <w:rFonts w:hint="eastAsia" w:ascii="Times New Roman" w:hAnsi="Times New Roman" w:eastAsia="仿宋_GB2312" w:cs="仿宋_GB2312"/>
          <w:sz w:val="30"/>
          <w:szCs w:val="30"/>
          <w:highlight w:val="none"/>
          <w:lang w:val="en-US" w:eastAsia="zh-CN"/>
        </w:rPr>
        <w:t>为</w:t>
      </w:r>
      <w:r>
        <w:rPr>
          <w:rFonts w:hint="eastAsia" w:ascii="Times New Roman" w:hAnsi="Times New Roman" w:eastAsia="仿宋_GB2312" w:cs="仿宋_GB2312"/>
          <w:sz w:val="30"/>
          <w:szCs w:val="30"/>
          <w:highlight w:val="none"/>
          <w:lang w:eastAsia="zh-CN"/>
        </w:rPr>
        <w:t>4,509,236.72元，完成年初预算的107.2%，决算数大于年初预算数的主要原因是基本工资调标、补发2022年一次性绩效奖励考评奖。</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val="en-US" w:eastAsia="zh-CN"/>
        </w:rPr>
        <w:t xml:space="preserve">    </w:t>
      </w:r>
      <w:r>
        <w:rPr>
          <w:rFonts w:hint="eastAsia" w:ascii="Times New Roman" w:hAnsi="Times New Roman" w:eastAsia="仿宋_GB2312" w:cs="仿宋_GB2312"/>
          <w:sz w:val="30"/>
          <w:szCs w:val="30"/>
          <w:highlight w:val="none"/>
          <w:lang w:eastAsia="zh-CN"/>
        </w:rPr>
        <w:t xml:space="preserve">2. </w:t>
      </w:r>
      <w:r>
        <w:rPr>
          <w:rFonts w:hint="eastAsia" w:ascii="Times New Roman" w:hAnsi="Times New Roman" w:eastAsia="仿宋_GB2312" w:cs="仿宋_GB2312"/>
          <w:sz w:val="30"/>
          <w:szCs w:val="30"/>
        </w:rPr>
        <w:t>社会保障和就业支出（类）行政事业单位养老支出（款）</w:t>
      </w:r>
      <w:r>
        <w:rPr>
          <w:rFonts w:hint="eastAsia" w:ascii="Times New Roman" w:hAnsi="Times New Roman" w:eastAsia="仿宋_GB2312" w:cs="仿宋_GB2312"/>
          <w:sz w:val="30"/>
          <w:szCs w:val="30"/>
          <w:lang w:val="en-US" w:eastAsia="zh-CN"/>
        </w:rPr>
        <w:t>机关</w:t>
      </w:r>
      <w:r>
        <w:rPr>
          <w:rFonts w:hint="eastAsia" w:ascii="Times New Roman" w:hAnsi="Times New Roman" w:eastAsia="仿宋_GB2312" w:cs="仿宋_GB2312"/>
          <w:sz w:val="30"/>
          <w:szCs w:val="30"/>
          <w:highlight w:val="none"/>
          <w:lang w:eastAsia="zh-CN"/>
        </w:rPr>
        <w:t>事业单位基本养老保险缴费</w:t>
      </w:r>
      <w:r>
        <w:rPr>
          <w:rFonts w:hint="eastAsia" w:ascii="Times New Roman" w:hAnsi="Times New Roman" w:eastAsia="仿宋_GB2312" w:cs="仿宋_GB2312"/>
          <w:sz w:val="30"/>
          <w:szCs w:val="30"/>
        </w:rPr>
        <w:t>（项）</w:t>
      </w:r>
      <w:r>
        <w:rPr>
          <w:rFonts w:hint="eastAsia" w:ascii="Times New Roman" w:hAnsi="Times New Roman" w:eastAsia="仿宋_GB2312" w:cs="仿宋_GB2312"/>
          <w:sz w:val="30"/>
          <w:szCs w:val="30"/>
          <w:highlight w:val="none"/>
          <w:lang w:eastAsia="zh-CN"/>
        </w:rPr>
        <w:t>支出年初预算为345,340.8元，支出决算为373,554.56元，完成年初预算的108.2%，决算数大于年初预算数的主要原因是本年度补发上年度新分生基本养老保险。</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val="en-US" w:eastAsia="zh-CN"/>
        </w:rPr>
        <w:t xml:space="preserve">    </w:t>
      </w:r>
      <w:r>
        <w:rPr>
          <w:rFonts w:hint="eastAsia" w:ascii="Times New Roman" w:hAnsi="Times New Roman" w:eastAsia="仿宋_GB2312" w:cs="仿宋_GB2312"/>
          <w:sz w:val="30"/>
          <w:szCs w:val="30"/>
          <w:highlight w:val="none"/>
          <w:lang w:eastAsia="zh-CN"/>
        </w:rPr>
        <w:t>3.</w:t>
      </w:r>
      <w:r>
        <w:rPr>
          <w:rFonts w:hint="eastAsia" w:ascii="Times New Roman" w:hAnsi="Times New Roman" w:eastAsia="仿宋_GB2312" w:cs="仿宋_GB2312"/>
          <w:sz w:val="30"/>
          <w:szCs w:val="30"/>
        </w:rPr>
        <w:t>社会保障和就业支出（类）行政事业单位养老支出（款）</w:t>
      </w:r>
      <w:r>
        <w:rPr>
          <w:rFonts w:hint="eastAsia" w:ascii="Times New Roman" w:hAnsi="Times New Roman" w:eastAsia="仿宋_GB2312" w:cs="仿宋_GB2312"/>
          <w:sz w:val="30"/>
          <w:szCs w:val="30"/>
          <w:lang w:val="en-US" w:eastAsia="zh-CN"/>
        </w:rPr>
        <w:t>机关</w:t>
      </w:r>
      <w:r>
        <w:rPr>
          <w:rFonts w:hint="eastAsia" w:ascii="Times New Roman" w:hAnsi="Times New Roman" w:eastAsia="仿宋_GB2312" w:cs="仿宋_GB2312"/>
          <w:sz w:val="30"/>
          <w:szCs w:val="30"/>
          <w:highlight w:val="none"/>
          <w:lang w:eastAsia="zh-CN"/>
        </w:rPr>
        <w:t>事业单位职业年金缴费支出</w:t>
      </w:r>
      <w:r>
        <w:rPr>
          <w:rFonts w:hint="eastAsia" w:ascii="Times New Roman" w:hAnsi="Times New Roman" w:eastAsia="仿宋_GB2312" w:cs="仿宋_GB2312"/>
          <w:sz w:val="30"/>
          <w:szCs w:val="30"/>
        </w:rPr>
        <w:t>（项）</w:t>
      </w:r>
      <w:r>
        <w:rPr>
          <w:rFonts w:hint="eastAsia" w:ascii="Times New Roman" w:hAnsi="Times New Roman" w:eastAsia="仿宋_GB2312" w:cs="仿宋_GB2312"/>
          <w:sz w:val="30"/>
          <w:szCs w:val="30"/>
          <w:highlight w:val="none"/>
          <w:lang w:eastAsia="zh-CN"/>
        </w:rPr>
        <w:t>年初预算为172,670.4元，支出决算为186,777.28元，完成</w:t>
      </w:r>
      <w:bookmarkStart w:id="0" w:name="_GoBack"/>
      <w:bookmarkEnd w:id="0"/>
      <w:r>
        <w:rPr>
          <w:rFonts w:hint="eastAsia" w:ascii="Times New Roman" w:hAnsi="Times New Roman" w:eastAsia="仿宋_GB2312" w:cs="仿宋_GB2312"/>
          <w:sz w:val="30"/>
          <w:szCs w:val="30"/>
          <w:highlight w:val="none"/>
          <w:lang w:eastAsia="zh-CN"/>
        </w:rPr>
        <w:t>年初预算的108.2%，决算数大于年初预算数的主要原因是本年度补发上年度新分生职业年金。</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val="en-US" w:eastAsia="zh-CN"/>
        </w:rPr>
        <w:t xml:space="preserve">    </w:t>
      </w:r>
      <w:r>
        <w:rPr>
          <w:rFonts w:hint="eastAsia" w:ascii="Times New Roman" w:hAnsi="Times New Roman" w:eastAsia="仿宋_GB2312" w:cs="仿宋_GB2312"/>
          <w:sz w:val="30"/>
          <w:szCs w:val="30"/>
          <w:highlight w:val="none"/>
          <w:lang w:eastAsia="zh-CN"/>
        </w:rPr>
        <w:t xml:space="preserve">4. </w:t>
      </w:r>
      <w:r>
        <w:rPr>
          <w:rFonts w:hint="eastAsia" w:ascii="Times New Roman" w:hAnsi="Times New Roman" w:eastAsia="仿宋_GB2312" w:cs="仿宋_GB2312"/>
          <w:sz w:val="30"/>
          <w:szCs w:val="30"/>
        </w:rPr>
        <w:t>卫生健康支出（类）行政事业单位医疗支出（款）</w:t>
      </w:r>
      <w:r>
        <w:rPr>
          <w:rFonts w:hint="eastAsia" w:ascii="Times New Roman" w:hAnsi="Times New Roman" w:eastAsia="仿宋_GB2312" w:cs="仿宋_GB2312"/>
          <w:sz w:val="30"/>
          <w:szCs w:val="30"/>
          <w:lang w:val="en-US" w:eastAsia="zh-CN"/>
        </w:rPr>
        <w:t>事业</w:t>
      </w:r>
      <w:r>
        <w:rPr>
          <w:rFonts w:hint="eastAsia" w:ascii="Times New Roman" w:hAnsi="Times New Roman" w:eastAsia="仿宋_GB2312" w:cs="仿宋_GB2312"/>
          <w:sz w:val="30"/>
          <w:szCs w:val="30"/>
        </w:rPr>
        <w:t>单位医疗（项）</w:t>
      </w:r>
      <w:r>
        <w:rPr>
          <w:rFonts w:hint="eastAsia" w:ascii="Times New Roman" w:hAnsi="Times New Roman" w:eastAsia="仿宋_GB2312" w:cs="仿宋_GB2312"/>
          <w:sz w:val="30"/>
          <w:szCs w:val="30"/>
          <w:highlight w:val="none"/>
          <w:lang w:eastAsia="zh-CN"/>
        </w:rPr>
        <w:t>年初预算数215,838元，支出决算为231,473.52元，完成年初预算的107.2%，决算数大于年初预算数的主要原因是在职人员</w:t>
      </w:r>
      <w:r>
        <w:rPr>
          <w:rFonts w:hint="eastAsia" w:ascii="Times New Roman" w:hAnsi="Times New Roman" w:eastAsia="仿宋_GB2312" w:cs="仿宋_GB2312"/>
          <w:sz w:val="30"/>
          <w:szCs w:val="30"/>
          <w:highlight w:val="none"/>
          <w:lang w:val="en-US" w:eastAsia="zh-CN"/>
        </w:rPr>
        <w:t>调增医疗保险等</w:t>
      </w:r>
      <w:r>
        <w:rPr>
          <w:rFonts w:hint="eastAsia" w:ascii="Times New Roman" w:hAnsi="Times New Roman" w:eastAsia="仿宋_GB2312" w:cs="仿宋_GB2312"/>
          <w:sz w:val="30"/>
          <w:szCs w:val="30"/>
          <w:highlight w:val="none"/>
          <w:lang w:eastAsia="zh-CN"/>
        </w:rPr>
        <w:t>。</w:t>
      </w:r>
    </w:p>
    <w:p>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六、一般公共预算财政拨款基本支出决算情况说明</w:t>
      </w:r>
    </w:p>
    <w:p>
      <w:pPr>
        <w:autoSpaceDE w:val="0"/>
        <w:autoSpaceDN w:val="0"/>
        <w:adjustRightInd w:val="0"/>
        <w:spacing w:line="600" w:lineRule="exact"/>
        <w:ind w:firstLine="720"/>
        <w:jc w:val="left"/>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sz w:val="30"/>
          <w:szCs w:val="30"/>
          <w:highlight w:val="none"/>
          <w:lang w:eastAsia="zh-CN"/>
        </w:rPr>
        <w:t>天津市蓟州区东二营镇东辛庄中心小学</w:t>
      </w:r>
      <w:r>
        <w:rPr>
          <w:rFonts w:hint="eastAsia" w:ascii="Times New Roman" w:hAnsi="Times New Roman" w:eastAsia="宋体" w:cs="宋体"/>
          <w:sz w:val="30"/>
          <w:szCs w:val="30"/>
          <w:highlight w:val="none"/>
          <w:lang w:eastAsia="zh-CN"/>
        </w:rPr>
        <w:t>2023</w:t>
      </w:r>
      <w:r>
        <w:rPr>
          <w:rFonts w:hint="eastAsia" w:ascii="Times New Roman" w:hAnsi="Times New Roman" w:eastAsia="仿宋_GB2312" w:cs="仿宋_GB2312"/>
          <w:sz w:val="30"/>
          <w:szCs w:val="30"/>
          <w:highlight w:val="none"/>
        </w:rPr>
        <w:t>年度部门决算一般公共预算财政拨款基本支出合计</w:t>
      </w:r>
      <w:r>
        <w:rPr>
          <w:rFonts w:hint="eastAsia" w:ascii="Times New Roman" w:hAnsi="Times New Roman" w:eastAsia="仿宋_GB2312" w:cs="Times New Roman"/>
          <w:sz w:val="30"/>
          <w:szCs w:val="30"/>
          <w:highlight w:val="none"/>
          <w:lang w:eastAsia="zh-CN"/>
        </w:rPr>
        <w:t>5,301,042.08</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w:t>
      </w:r>
      <w:r>
        <w:rPr>
          <w:rFonts w:hint="eastAsia" w:ascii="Times New Roman" w:hAnsi="Times New Roman" w:eastAsia="仿宋_GB2312" w:cs="仿宋_GB2312"/>
          <w:sz w:val="30"/>
          <w:szCs w:val="30"/>
          <w:highlight w:val="none"/>
          <w:lang w:val="en-US" w:eastAsia="zh-CN"/>
        </w:rPr>
        <w:t>减少</w:t>
      </w:r>
      <w:r>
        <w:rPr>
          <w:rFonts w:hint="eastAsia" w:ascii="Times New Roman" w:hAnsi="Times New Roman" w:eastAsia="仿宋_GB2312" w:cs="仿宋_GB2312"/>
          <w:sz w:val="30"/>
          <w:szCs w:val="30"/>
          <w:highlight w:val="none"/>
          <w:lang w:eastAsia="zh-CN"/>
        </w:rPr>
        <w:t>1,037,095.98</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kern w:val="0"/>
          <w:sz w:val="30"/>
          <w:szCs w:val="30"/>
          <w:highlight w:val="none"/>
        </w:rPr>
        <w:t>主要原因是</w:t>
      </w:r>
      <w:r>
        <w:rPr>
          <w:rFonts w:hint="eastAsia" w:ascii="Times New Roman" w:hAnsi="Times New Roman" w:eastAsia="楷体_GB2312" w:cs="楷体_GB2312"/>
          <w:sz w:val="30"/>
          <w:szCs w:val="30"/>
          <w:highlight w:val="none"/>
        </w:rPr>
        <w:t>：</w:t>
      </w:r>
      <w:r>
        <w:rPr>
          <w:rFonts w:hint="eastAsia" w:ascii="Times New Roman" w:hAnsi="Times New Roman" w:eastAsia="仿宋_GB2312" w:cs="仿宋_GB2312"/>
          <w:sz w:val="30"/>
          <w:szCs w:val="30"/>
          <w:highlight w:val="none"/>
          <w:lang w:eastAsia="zh-CN"/>
        </w:rPr>
        <w:t>公用经费减少，人员工资减少。</w:t>
      </w:r>
      <w:r>
        <w:rPr>
          <w:rFonts w:hint="eastAsia" w:ascii="Times New Roman" w:hAnsi="Times New Roman" w:eastAsia="仿宋_GB2312" w:cs="仿宋_GB2312"/>
          <w:kern w:val="0"/>
          <w:sz w:val="30"/>
          <w:szCs w:val="30"/>
          <w:highlight w:val="none"/>
        </w:rPr>
        <w:t>其中：</w:t>
      </w:r>
    </w:p>
    <w:p>
      <w:pPr>
        <w:autoSpaceDE w:val="0"/>
        <w:autoSpaceDN w:val="0"/>
        <w:adjustRightInd w:val="0"/>
        <w:spacing w:line="600" w:lineRule="exact"/>
        <w:ind w:firstLine="720"/>
        <w:jc w:val="left"/>
        <w:rPr>
          <w:rFonts w:hint="eastAsia" w:ascii="Times New Roman" w:hAnsi="Times New Roman" w:eastAsia="黑体" w:cs="黑体"/>
          <w:b/>
          <w:bCs/>
          <w:kern w:val="0"/>
          <w:sz w:val="30"/>
          <w:szCs w:val="30"/>
          <w:highlight w:val="none"/>
        </w:rPr>
      </w:pPr>
      <w:r>
        <w:rPr>
          <w:rFonts w:hint="eastAsia" w:ascii="Times New Roman" w:hAnsi="Times New Roman" w:eastAsia="仿宋_GB2312" w:cs="仿宋_GB2312"/>
          <w:kern w:val="0"/>
          <w:sz w:val="30"/>
          <w:szCs w:val="30"/>
          <w:highlight w:val="none"/>
        </w:rPr>
        <w:t>人员经费</w:t>
      </w:r>
      <w:r>
        <w:rPr>
          <w:rFonts w:hint="eastAsia" w:ascii="Times New Roman" w:hAnsi="Times New Roman" w:eastAsia="仿宋_GB2312" w:cs="Times New Roman"/>
          <w:sz w:val="30"/>
          <w:szCs w:val="30"/>
          <w:highlight w:val="none"/>
          <w:lang w:eastAsia="zh-CN"/>
        </w:rPr>
        <w:t>4,935,503.40</w:t>
      </w:r>
      <w:r>
        <w:rPr>
          <w:rFonts w:hint="eastAsia" w:ascii="Times New Roman" w:hAnsi="Times New Roman" w:eastAsia="仿宋_GB2312" w:cs="仿宋_GB2312"/>
          <w:kern w:val="0"/>
          <w:sz w:val="30"/>
          <w:szCs w:val="30"/>
          <w:highlight w:val="none"/>
        </w:rPr>
        <w:t>元，主要包括</w:t>
      </w:r>
      <w:r>
        <w:rPr>
          <w:rFonts w:hint="eastAsia" w:ascii="Times New Roman" w:hAnsi="Times New Roman" w:eastAsia="仿宋_GB2312" w:cs="仿宋_GB2312"/>
          <w:sz w:val="30"/>
          <w:szCs w:val="30"/>
          <w:highlight w:val="none"/>
          <w:lang w:eastAsia="zh-CN"/>
        </w:rPr>
        <w:t>基本工资、津贴补贴、绩效工资、机关事业单位基本养老保险缴费、职业年金缴费、职工基本医疗保险缴费、其他社会保障缴费、住房公积金、其他工资福利支出、退休费、生活补助；</w:t>
      </w:r>
    </w:p>
    <w:p>
      <w:pPr>
        <w:autoSpaceDE w:val="0"/>
        <w:autoSpaceDN w:val="0"/>
        <w:adjustRightInd w:val="0"/>
        <w:spacing w:line="600" w:lineRule="exact"/>
        <w:ind w:firstLine="720"/>
        <w:jc w:val="left"/>
        <w:rPr>
          <w:rFonts w:hint="eastAsia" w:ascii="Times New Roman" w:hAnsi="Times New Roman" w:eastAsia="黑体" w:cs="黑体"/>
          <w:b/>
          <w:bCs/>
          <w:kern w:val="0"/>
          <w:sz w:val="30"/>
          <w:szCs w:val="30"/>
          <w:highlight w:val="none"/>
        </w:rPr>
      </w:pPr>
      <w:r>
        <w:rPr>
          <w:rFonts w:hint="eastAsia" w:ascii="Times New Roman" w:hAnsi="Times New Roman" w:eastAsia="仿宋_GB2312" w:cs="仿宋_GB2312"/>
          <w:kern w:val="0"/>
          <w:sz w:val="30"/>
          <w:szCs w:val="30"/>
          <w:highlight w:val="none"/>
        </w:rPr>
        <w:t>公用经费</w:t>
      </w:r>
      <w:r>
        <w:rPr>
          <w:rFonts w:hint="eastAsia" w:ascii="Times New Roman" w:hAnsi="Times New Roman" w:eastAsia="仿宋_GB2312" w:cs="Times New Roman"/>
          <w:sz w:val="30"/>
          <w:szCs w:val="30"/>
          <w:highlight w:val="none"/>
          <w:lang w:eastAsia="zh-CN"/>
        </w:rPr>
        <w:t>365,538.68</w:t>
      </w:r>
      <w:r>
        <w:rPr>
          <w:rFonts w:hint="eastAsia" w:ascii="Times New Roman" w:hAnsi="Times New Roman" w:eastAsia="仿宋_GB2312" w:cs="仿宋_GB2312"/>
          <w:kern w:val="0"/>
          <w:sz w:val="30"/>
          <w:szCs w:val="30"/>
          <w:highlight w:val="none"/>
        </w:rPr>
        <w:t>元，主要包括</w:t>
      </w:r>
      <w:r>
        <w:rPr>
          <w:rFonts w:hint="eastAsia" w:ascii="Times New Roman" w:hAnsi="Times New Roman" w:eastAsia="仿宋_GB2312" w:cs="仿宋_GB2312"/>
          <w:sz w:val="30"/>
          <w:szCs w:val="30"/>
          <w:highlight w:val="none"/>
          <w:lang w:eastAsia="zh-CN"/>
        </w:rPr>
        <w:t>办公费、印刷费、手续费、电费、邮电费、取暖费、物业管理费、差旅费、维修(护)费、培训费、专用材料费、劳务费、福利费、其他交通费用。</w:t>
      </w:r>
    </w:p>
    <w:p>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七、政府性基金预算财政拨款收支决算情况</w:t>
      </w:r>
    </w:p>
    <w:p>
      <w:pPr>
        <w:autoSpaceDE w:val="0"/>
        <w:autoSpaceDN w:val="0"/>
        <w:adjustRightInd w:val="0"/>
        <w:spacing w:line="600" w:lineRule="exact"/>
        <w:ind w:firstLine="600"/>
        <w:jc w:val="left"/>
        <w:rPr>
          <w:rFonts w:hint="default" w:ascii="Times New Roman" w:hAnsi="Times New Roman" w:eastAsia="楷体" w:cs="楷体"/>
          <w:kern w:val="0"/>
          <w:sz w:val="30"/>
          <w:szCs w:val="30"/>
          <w:highlight w:val="none"/>
          <w:lang w:val="en-US"/>
        </w:rPr>
      </w:pPr>
      <w:r>
        <w:rPr>
          <w:rFonts w:hint="eastAsia" w:ascii="Times New Roman" w:hAnsi="Times New Roman" w:eastAsia="仿宋_GB2312" w:cs="仿宋_GB2312"/>
          <w:sz w:val="30"/>
          <w:szCs w:val="30"/>
          <w:highlight w:val="none"/>
          <w:lang w:eastAsia="zh-CN"/>
        </w:rPr>
        <w:t>天津市蓟州区东二营镇东辛庄中心小学2023年度无政府性基金预算财政拨款收入、支出和结转结余。</w:t>
      </w:r>
      <w:r>
        <w:rPr>
          <w:rFonts w:hint="eastAsia" w:ascii="Times New Roman" w:hAnsi="Times New Roman" w:eastAsia="仿宋_GB2312" w:cs="仿宋_GB2312"/>
          <w:sz w:val="30"/>
          <w:szCs w:val="30"/>
          <w:highlight w:val="none"/>
          <w:lang w:val="en-US" w:eastAsia="zh-CN"/>
        </w:rPr>
        <w:tab/>
      </w:r>
    </w:p>
    <w:p>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八、国有资本经营预算财政拨款收支决算情况说明</w:t>
      </w:r>
    </w:p>
    <w:p>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天津市蓟州区东二营镇东辛庄中心小学2023年度无国有资本经营预算财政拨款收入、支出和结转结余。</w:t>
      </w:r>
    </w:p>
    <w:p>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九、财政拨款</w:t>
      </w:r>
      <w:r>
        <w:rPr>
          <w:rFonts w:ascii="Times New Roman" w:hAnsi="Times New Roman" w:eastAsia="黑体" w:cs="黑体"/>
          <w:b/>
          <w:bCs/>
          <w:kern w:val="0"/>
          <w:sz w:val="30"/>
          <w:szCs w:val="30"/>
          <w:highlight w:val="none"/>
        </w:rPr>
        <w:t>“</w:t>
      </w:r>
      <w:r>
        <w:rPr>
          <w:rFonts w:hint="eastAsia" w:ascii="Times New Roman" w:hAnsi="Times New Roman" w:eastAsia="黑体" w:cs="黑体"/>
          <w:b/>
          <w:bCs/>
          <w:kern w:val="0"/>
          <w:sz w:val="30"/>
          <w:szCs w:val="30"/>
          <w:highlight w:val="none"/>
        </w:rPr>
        <w:t>三公</w:t>
      </w:r>
      <w:r>
        <w:rPr>
          <w:rFonts w:ascii="Times New Roman" w:hAnsi="Times New Roman" w:eastAsia="黑体" w:cs="黑体"/>
          <w:b/>
          <w:bCs/>
          <w:kern w:val="0"/>
          <w:sz w:val="30"/>
          <w:szCs w:val="30"/>
          <w:highlight w:val="none"/>
        </w:rPr>
        <w:t>”</w:t>
      </w:r>
      <w:r>
        <w:rPr>
          <w:rFonts w:hint="eastAsia" w:ascii="Times New Roman" w:hAnsi="Times New Roman" w:eastAsia="黑体" w:cs="黑体"/>
          <w:b/>
          <w:bCs/>
          <w:kern w:val="0"/>
          <w:sz w:val="30"/>
          <w:szCs w:val="30"/>
          <w:highlight w:val="none"/>
        </w:rPr>
        <w:t>经费</w:t>
      </w:r>
      <w:r>
        <w:rPr>
          <w:rFonts w:hint="eastAsia" w:ascii="Times New Roman" w:hAnsi="Times New Roman" w:eastAsia="黑体" w:cs="黑体"/>
          <w:b/>
          <w:bCs/>
          <w:kern w:val="0"/>
          <w:sz w:val="30"/>
          <w:szCs w:val="30"/>
          <w:highlight w:val="none"/>
          <w:lang w:val="zh-CN"/>
        </w:rPr>
        <w:t>支出决算</w:t>
      </w:r>
      <w:r>
        <w:rPr>
          <w:rFonts w:hint="eastAsia" w:ascii="Times New Roman" w:hAnsi="Times New Roman" w:eastAsia="黑体" w:cs="黑体"/>
          <w:b/>
          <w:bCs/>
          <w:kern w:val="0"/>
          <w:sz w:val="30"/>
          <w:szCs w:val="30"/>
          <w:highlight w:val="none"/>
        </w:rPr>
        <w:t>情况</w:t>
      </w:r>
    </w:p>
    <w:p>
      <w:pPr>
        <w:autoSpaceDE w:val="0"/>
        <w:autoSpaceDN w:val="0"/>
        <w:adjustRightInd w:val="0"/>
        <w:spacing w:line="600" w:lineRule="exact"/>
        <w:ind w:firstLine="602"/>
        <w:jc w:val="left"/>
        <w:rPr>
          <w:rFonts w:hint="default" w:ascii="Times New Roman" w:hAnsi="Times New Roman" w:eastAsia="楷体" w:cs="楷体"/>
          <w:b/>
          <w:bCs/>
          <w:kern w:val="0"/>
          <w:sz w:val="30"/>
          <w:szCs w:val="30"/>
          <w:highlight w:val="none"/>
          <w:lang w:val="en-US" w:eastAsia="zh-CN"/>
        </w:rPr>
      </w:pPr>
      <w:r>
        <w:rPr>
          <w:rFonts w:hint="eastAsia" w:ascii="Times New Roman" w:hAnsi="Times New Roman" w:eastAsia="楷体" w:cs="楷体"/>
          <w:b/>
          <w:bCs/>
          <w:kern w:val="0"/>
          <w:sz w:val="30"/>
          <w:szCs w:val="30"/>
          <w:highlight w:val="none"/>
        </w:rPr>
        <w:t>（一）总体情况</w:t>
      </w:r>
      <w:r>
        <w:rPr>
          <w:rFonts w:hint="eastAsia" w:ascii="Times New Roman" w:hAnsi="Times New Roman" w:eastAsia="楷体" w:cs="楷体"/>
          <w:b/>
          <w:bCs/>
          <w:kern w:val="0"/>
          <w:sz w:val="30"/>
          <w:szCs w:val="30"/>
          <w:highlight w:val="none"/>
          <w:lang w:val="en-US" w:eastAsia="zh-CN"/>
        </w:rPr>
        <w:tab/>
      </w:r>
      <w:r>
        <w:rPr>
          <w:rFonts w:hint="eastAsia" w:ascii="Times New Roman" w:hAnsi="Times New Roman" w:eastAsia="楷体" w:cs="楷体"/>
          <w:b/>
          <w:bCs/>
          <w:kern w:val="0"/>
          <w:sz w:val="30"/>
          <w:szCs w:val="30"/>
          <w:highlight w:val="none"/>
          <w:lang w:val="en-US" w:eastAsia="zh-CN"/>
        </w:rPr>
        <w:tab/>
      </w:r>
      <w:r>
        <w:rPr>
          <w:rFonts w:hint="eastAsia" w:ascii="Times New Roman" w:hAnsi="Times New Roman" w:eastAsia="楷体" w:cs="楷体"/>
          <w:b/>
          <w:bCs/>
          <w:kern w:val="0"/>
          <w:sz w:val="30"/>
          <w:szCs w:val="30"/>
          <w:highlight w:val="none"/>
          <w:lang w:val="en-US" w:eastAsia="zh-CN"/>
        </w:rPr>
        <w:tab/>
      </w:r>
      <w:r>
        <w:rPr>
          <w:rFonts w:hint="eastAsia" w:ascii="Times New Roman" w:hAnsi="Times New Roman" w:eastAsia="楷体" w:cs="楷体"/>
          <w:b/>
          <w:bCs/>
          <w:kern w:val="0"/>
          <w:sz w:val="30"/>
          <w:szCs w:val="30"/>
          <w:highlight w:val="none"/>
          <w:lang w:val="en-US" w:eastAsia="zh-CN"/>
        </w:rPr>
        <w:tab/>
      </w:r>
    </w:p>
    <w:p>
      <w:pPr>
        <w:autoSpaceDE w:val="0"/>
        <w:autoSpaceDN w:val="0"/>
        <w:adjustRightInd w:val="0"/>
        <w:spacing w:line="600" w:lineRule="exact"/>
        <w:ind w:firstLine="600"/>
        <w:jc w:val="left"/>
        <w:rPr>
          <w:rFonts w:ascii="Times New Roman" w:hAnsi="Times New Roman" w:eastAsia="仿宋_GB2312" w:cs="Times New Roman"/>
          <w:kern w:val="0"/>
          <w:sz w:val="30"/>
          <w:szCs w:val="30"/>
          <w:highlight w:val="none"/>
        </w:rPr>
      </w:pPr>
      <w:r>
        <w:rPr>
          <w:rFonts w:ascii="Times New Roman" w:hAnsi="Times New Roman" w:eastAsia="仿宋_GB2312" w:cs="仿宋_GB2312"/>
          <w:kern w:val="0"/>
          <w:sz w:val="30"/>
          <w:szCs w:val="30"/>
          <w:highlight w:val="none"/>
        </w:rPr>
        <w:t>202</w:t>
      </w:r>
      <w:r>
        <w:rPr>
          <w:rFonts w:hint="eastAsia" w:ascii="Times New Roman" w:hAnsi="Times New Roman" w:eastAsia="仿宋_GB2312" w:cs="仿宋_GB2312"/>
          <w:kern w:val="0"/>
          <w:sz w:val="30"/>
          <w:szCs w:val="30"/>
          <w:highlight w:val="none"/>
          <w:lang w:val="en-US" w:eastAsia="zh-CN"/>
        </w:rPr>
        <w:t>3</w:t>
      </w:r>
      <w:r>
        <w:rPr>
          <w:rFonts w:hint="eastAsia" w:ascii="Times New Roman" w:hAnsi="Times New Roman" w:eastAsia="仿宋_GB2312" w:cs="仿宋_GB2312"/>
          <w:kern w:val="0"/>
          <w:sz w:val="30"/>
          <w:szCs w:val="30"/>
          <w:highlight w:val="none"/>
        </w:rPr>
        <w:t>年财政拨款</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经费预算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元，支出决算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元，与</w:t>
      </w:r>
      <w:r>
        <w:rPr>
          <w:rFonts w:ascii="Times New Roman" w:hAnsi="Times New Roman" w:eastAsia="仿宋_GB2312" w:cs="仿宋_GB2312"/>
          <w:kern w:val="0"/>
          <w:sz w:val="30"/>
          <w:szCs w:val="30"/>
          <w:highlight w:val="none"/>
        </w:rPr>
        <w:t>202</w:t>
      </w:r>
      <w:r>
        <w:rPr>
          <w:rFonts w:hint="eastAsia" w:ascii="Times New Roman" w:hAnsi="Times New Roman" w:eastAsia="仿宋_GB2312" w:cs="仿宋_GB2312"/>
          <w:kern w:val="0"/>
          <w:sz w:val="30"/>
          <w:szCs w:val="30"/>
          <w:highlight w:val="none"/>
          <w:lang w:val="en-US" w:eastAsia="zh-CN"/>
        </w:rPr>
        <w:t>3</w:t>
      </w:r>
      <w:r>
        <w:rPr>
          <w:rFonts w:hint="eastAsia" w:ascii="Times New Roman" w:hAnsi="Times New Roman" w:eastAsia="仿宋_GB2312" w:cs="仿宋_GB2312"/>
          <w:kern w:val="0"/>
          <w:sz w:val="30"/>
          <w:szCs w:val="30"/>
          <w:highlight w:val="none"/>
        </w:rPr>
        <w:t>年预算相比</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rPr>
        <w:t>。决算数</w:t>
      </w:r>
      <w:r>
        <w:rPr>
          <w:rFonts w:hint="eastAsia" w:ascii="Times New Roman" w:hAnsi="Times New Roman" w:eastAsia="仿宋_GB2312" w:cs="仿宋_GB2312"/>
          <w:sz w:val="30"/>
          <w:szCs w:val="30"/>
          <w:highlight w:val="none"/>
          <w:lang w:eastAsia="zh-CN"/>
        </w:rPr>
        <w:t>等于</w:t>
      </w:r>
      <w:r>
        <w:rPr>
          <w:rFonts w:hint="eastAsia" w:ascii="Times New Roman" w:hAnsi="Times New Roman" w:eastAsia="仿宋_GB2312" w:cs="仿宋_GB2312"/>
          <w:kern w:val="0"/>
          <w:sz w:val="30"/>
          <w:szCs w:val="30"/>
          <w:highlight w:val="none"/>
        </w:rPr>
        <w:t>预算数的主要原因是：</w:t>
      </w:r>
      <w:r>
        <w:rPr>
          <w:rFonts w:hint="eastAsia" w:ascii="Times New Roman" w:hAnsi="Times New Roman" w:eastAsia="仿宋_GB2312" w:cs="仿宋_GB2312"/>
          <w:sz w:val="30"/>
          <w:szCs w:val="30"/>
          <w:highlight w:val="none"/>
          <w:lang w:eastAsia="zh-CN"/>
        </w:rPr>
        <w:t>本年度未用一般公共预算列支“三公”经费。</w:t>
      </w:r>
      <w:r>
        <w:rPr>
          <w:rFonts w:hint="eastAsia" w:ascii="Times New Roman" w:hAnsi="Times New Roman" w:eastAsia="仿宋_GB2312" w:cs="仿宋_GB2312"/>
          <w:kern w:val="0"/>
          <w:sz w:val="30"/>
          <w:szCs w:val="30"/>
          <w:highlight w:val="none"/>
        </w:rPr>
        <w:t>；决算数较上年</w:t>
      </w:r>
      <w:r>
        <w:rPr>
          <w:rFonts w:hint="eastAsia" w:ascii="Times New Roman" w:hAnsi="Times New Roman" w:eastAsia="仿宋_GB2312" w:cs="仿宋_GB2312"/>
          <w:sz w:val="30"/>
          <w:szCs w:val="30"/>
          <w:highlight w:val="none"/>
          <w:lang w:eastAsia="zh-CN"/>
        </w:rPr>
        <w:t>持平</w:t>
      </w:r>
      <w:r>
        <w:rPr>
          <w:rFonts w:hint="eastAsia" w:ascii="Times New Roman" w:hAnsi="Times New Roman" w:eastAsia="仿宋_GB2312" w:cs="仿宋_GB2312"/>
          <w:kern w:val="0"/>
          <w:sz w:val="30"/>
          <w:szCs w:val="30"/>
          <w:highlight w:val="none"/>
        </w:rPr>
        <w:t>的主要原因是：</w:t>
      </w:r>
      <w:r>
        <w:rPr>
          <w:rFonts w:hint="eastAsia" w:ascii="Times New Roman" w:hAnsi="Times New Roman" w:eastAsia="仿宋_GB2312" w:cs="仿宋_GB2312"/>
          <w:sz w:val="30"/>
          <w:szCs w:val="30"/>
          <w:highlight w:val="none"/>
          <w:lang w:eastAsia="zh-CN"/>
        </w:rPr>
        <w:t>本年度未用一般公共预算列支“三公”经费。</w:t>
      </w:r>
    </w:p>
    <w:p>
      <w:pPr>
        <w:autoSpaceDE w:val="0"/>
        <w:autoSpaceDN w:val="0"/>
        <w:adjustRightInd w:val="0"/>
        <w:spacing w:line="600" w:lineRule="exact"/>
        <w:ind w:firstLine="602"/>
        <w:jc w:val="left"/>
        <w:rPr>
          <w:rFonts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（二）具体情况</w:t>
      </w:r>
    </w:p>
    <w:p>
      <w:pPr>
        <w:autoSpaceDE w:val="0"/>
        <w:autoSpaceDN w:val="0"/>
        <w:adjustRightInd w:val="0"/>
        <w:spacing w:line="600" w:lineRule="exact"/>
        <w:ind w:firstLine="600"/>
        <w:rPr>
          <w:rFonts w:ascii="Times New Roman" w:hAnsi="Times New Roman" w:eastAsia="仿宋_GB2312" w:cs="仿宋_GB2312"/>
          <w:kern w:val="0"/>
          <w:sz w:val="30"/>
          <w:szCs w:val="30"/>
        </w:rPr>
      </w:pPr>
      <w:r>
        <w:rPr>
          <w:rFonts w:ascii="Times New Roman" w:hAnsi="Times New Roman" w:eastAsia="仿宋_GB2312" w:cs="仿宋_GB2312"/>
          <w:kern w:val="0"/>
          <w:sz w:val="30"/>
          <w:szCs w:val="30"/>
        </w:rPr>
        <w:t>1.</w:t>
      </w:r>
      <w:r>
        <w:rPr>
          <w:rFonts w:hint="eastAsia" w:ascii="Times New Roman" w:hAnsi="Times New Roman" w:eastAsia="仿宋_GB2312" w:cs="仿宋_GB2312"/>
          <w:kern w:val="0"/>
          <w:sz w:val="30"/>
          <w:szCs w:val="30"/>
        </w:rPr>
        <w:t>因公出国（境）费预算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元，支出决算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元，与预算相比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；较上年相比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。决算数</w:t>
      </w:r>
      <w:r>
        <w:rPr>
          <w:rFonts w:hint="eastAsia" w:ascii="Times New Roman" w:hAnsi="Times New Roman" w:eastAsia="仿宋_GB2312" w:cs="仿宋_GB2312"/>
          <w:sz w:val="30"/>
          <w:szCs w:val="30"/>
        </w:rPr>
        <w:t>等于</w:t>
      </w:r>
      <w:r>
        <w:rPr>
          <w:rFonts w:hint="eastAsia" w:ascii="Times New Roman" w:hAnsi="Times New Roman" w:eastAsia="仿宋_GB2312" w:cs="仿宋_GB2312"/>
          <w:kern w:val="0"/>
          <w:sz w:val="30"/>
          <w:szCs w:val="30"/>
        </w:rPr>
        <w:t>预算数的主要原因是：</w:t>
      </w:r>
      <w:r>
        <w:rPr>
          <w:rFonts w:hint="eastAsia" w:ascii="Times New Roman" w:hAnsi="Times New Roman" w:eastAsia="仿宋_GB2312" w:cs="仿宋_GB2312"/>
          <w:sz w:val="30"/>
          <w:szCs w:val="30"/>
        </w:rPr>
        <w:t>本年度未用财政拨款经费列支因公出国（境）费</w:t>
      </w:r>
      <w:r>
        <w:rPr>
          <w:rFonts w:hint="eastAsia" w:ascii="Times New Roman" w:hAnsi="Times New Roman" w:eastAsia="仿宋_GB2312" w:cs="仿宋_GB2312"/>
          <w:kern w:val="0"/>
          <w:sz w:val="30"/>
          <w:szCs w:val="30"/>
        </w:rPr>
        <w:t>；决算数较上年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的主要原因是：</w:t>
      </w:r>
      <w:r>
        <w:rPr>
          <w:rFonts w:hint="eastAsia" w:ascii="Times New Roman" w:hAnsi="Times New Roman" w:eastAsia="仿宋_GB2312" w:cs="仿宋_GB2312"/>
          <w:sz w:val="30"/>
          <w:szCs w:val="30"/>
        </w:rPr>
        <w:t>本年度未用财政拨款经费列支因公出国（境）费。</w:t>
      </w:r>
    </w:p>
    <w:p>
      <w:pPr>
        <w:autoSpaceDE w:val="0"/>
        <w:autoSpaceDN w:val="0"/>
        <w:adjustRightInd w:val="0"/>
        <w:spacing w:line="600" w:lineRule="exact"/>
        <w:ind w:firstLine="600"/>
        <w:rPr>
          <w:rFonts w:ascii="Times New Roman" w:hAnsi="Times New Roman" w:eastAsia="仿宋_GB2312" w:cs="Times New Roman"/>
          <w:kern w:val="0"/>
          <w:sz w:val="30"/>
          <w:szCs w:val="30"/>
        </w:rPr>
      </w:pPr>
      <w:r>
        <w:rPr>
          <w:rFonts w:ascii="Times New Roman" w:hAnsi="Times New Roman" w:eastAsia="仿宋_GB2312" w:cs="仿宋_GB2312"/>
          <w:kern w:val="0"/>
          <w:sz w:val="30"/>
          <w:szCs w:val="30"/>
        </w:rPr>
        <w:t>202</w:t>
      </w:r>
      <w:r>
        <w:rPr>
          <w:rFonts w:hint="eastAsia" w:ascii="Times New Roman" w:hAnsi="Times New Roman" w:eastAsia="仿宋_GB2312" w:cs="仿宋_GB2312"/>
          <w:kern w:val="0"/>
          <w:sz w:val="30"/>
          <w:szCs w:val="30"/>
        </w:rPr>
        <w:t>3年本单位组织的出国团组</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个，出国</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人次。</w:t>
      </w:r>
    </w:p>
    <w:p>
      <w:pPr>
        <w:autoSpaceDE w:val="0"/>
        <w:autoSpaceDN w:val="0"/>
        <w:adjustRightInd w:val="0"/>
        <w:spacing w:line="600" w:lineRule="exact"/>
        <w:ind w:firstLine="600"/>
        <w:rPr>
          <w:rFonts w:ascii="Times New Roman" w:hAnsi="Times New Roman" w:eastAsia="仿宋_GB2312" w:cs="Times New Roman"/>
          <w:kern w:val="0"/>
          <w:sz w:val="30"/>
          <w:szCs w:val="30"/>
        </w:rPr>
      </w:pPr>
      <w:r>
        <w:rPr>
          <w:rFonts w:ascii="Times New Roman" w:hAnsi="Times New Roman" w:eastAsia="仿宋_GB2312" w:cs="仿宋_GB2312"/>
          <w:kern w:val="0"/>
          <w:sz w:val="30"/>
          <w:szCs w:val="30"/>
        </w:rPr>
        <w:t>2.</w:t>
      </w:r>
      <w:r>
        <w:rPr>
          <w:rFonts w:hint="eastAsia" w:ascii="Times New Roman" w:hAnsi="Times New Roman" w:eastAsia="仿宋_GB2312" w:cs="仿宋_GB2312"/>
          <w:kern w:val="0"/>
          <w:sz w:val="30"/>
          <w:szCs w:val="30"/>
        </w:rPr>
        <w:t>公务用车购置及运行维护费预算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元，支出决算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元，与预算相比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；较上年相比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。决算数</w:t>
      </w:r>
      <w:r>
        <w:rPr>
          <w:rFonts w:hint="eastAsia" w:ascii="Times New Roman" w:hAnsi="Times New Roman" w:eastAsia="仿宋_GB2312" w:cs="仿宋_GB2312"/>
          <w:sz w:val="30"/>
          <w:szCs w:val="30"/>
        </w:rPr>
        <w:t>等于</w:t>
      </w:r>
      <w:r>
        <w:rPr>
          <w:rFonts w:hint="eastAsia" w:ascii="Times New Roman" w:hAnsi="Times New Roman" w:eastAsia="仿宋_GB2312" w:cs="仿宋_GB2312"/>
          <w:kern w:val="0"/>
          <w:sz w:val="30"/>
          <w:szCs w:val="30"/>
        </w:rPr>
        <w:t>预算数的主要原因是：</w:t>
      </w:r>
      <w:r>
        <w:rPr>
          <w:rFonts w:hint="eastAsia" w:ascii="Times New Roman" w:hAnsi="Times New Roman" w:eastAsia="仿宋_GB2312" w:cs="仿宋_GB2312"/>
          <w:sz w:val="30"/>
          <w:szCs w:val="30"/>
        </w:rPr>
        <w:t>本年度未用财政拨款经费列支公务用车购置及运行维护费</w:t>
      </w:r>
      <w:r>
        <w:rPr>
          <w:rFonts w:hint="eastAsia" w:ascii="Times New Roman" w:hAnsi="Times New Roman" w:eastAsia="仿宋_GB2312" w:cs="仿宋_GB2312"/>
          <w:kern w:val="0"/>
          <w:sz w:val="30"/>
          <w:szCs w:val="30"/>
        </w:rPr>
        <w:t>；决算数较上年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的主要原因是：</w:t>
      </w:r>
      <w:r>
        <w:rPr>
          <w:rFonts w:hint="eastAsia" w:ascii="Times New Roman" w:hAnsi="Times New Roman" w:eastAsia="仿宋_GB2312" w:cs="仿宋_GB2312"/>
          <w:sz w:val="30"/>
          <w:szCs w:val="30"/>
        </w:rPr>
        <w:t>本年度未用财政拨款经费列支公务用车购置及运行维护费。</w:t>
      </w:r>
      <w:r>
        <w:rPr>
          <w:rFonts w:hint="eastAsia" w:ascii="Times New Roman" w:hAnsi="Times New Roman" w:eastAsia="仿宋_GB2312" w:cs="仿宋_GB2312"/>
          <w:kern w:val="0"/>
          <w:sz w:val="30"/>
          <w:szCs w:val="30"/>
        </w:rPr>
        <w:t>其中：</w:t>
      </w:r>
    </w:p>
    <w:p>
      <w:pPr>
        <w:autoSpaceDE w:val="0"/>
        <w:autoSpaceDN w:val="0"/>
        <w:adjustRightInd w:val="0"/>
        <w:spacing w:line="600" w:lineRule="exact"/>
        <w:ind w:firstLine="600"/>
        <w:rPr>
          <w:rFonts w:ascii="Times New Roman" w:hAnsi="Times New Roman" w:eastAsia="仿宋_GB2312" w:cs="仿宋_GB2312"/>
          <w:kern w:val="0"/>
          <w:sz w:val="30"/>
          <w:szCs w:val="30"/>
        </w:rPr>
      </w:pPr>
      <w:r>
        <w:rPr>
          <w:rFonts w:hint="eastAsia" w:ascii="Times New Roman" w:hAnsi="Times New Roman" w:eastAsia="仿宋_GB2312" w:cs="仿宋_GB2312"/>
          <w:kern w:val="0"/>
          <w:sz w:val="30"/>
          <w:szCs w:val="30"/>
        </w:rPr>
        <w:t>公务用车运行维护费预算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元，支出决算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元，与预算相比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；较上年相比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。决算数</w:t>
      </w:r>
      <w:r>
        <w:rPr>
          <w:rFonts w:hint="eastAsia" w:ascii="Times New Roman" w:hAnsi="Times New Roman" w:eastAsia="仿宋_GB2312" w:cs="仿宋_GB2312"/>
          <w:sz w:val="30"/>
          <w:szCs w:val="30"/>
        </w:rPr>
        <w:t>等于</w:t>
      </w:r>
      <w:r>
        <w:rPr>
          <w:rFonts w:hint="eastAsia" w:ascii="Times New Roman" w:hAnsi="Times New Roman" w:eastAsia="仿宋_GB2312" w:cs="仿宋_GB2312"/>
          <w:kern w:val="0"/>
          <w:sz w:val="30"/>
          <w:szCs w:val="30"/>
        </w:rPr>
        <w:t>预算数的主要原因是：</w:t>
      </w:r>
      <w:r>
        <w:rPr>
          <w:rFonts w:hint="eastAsia" w:ascii="Times New Roman" w:hAnsi="Times New Roman" w:eastAsia="仿宋_GB2312" w:cs="仿宋_GB2312"/>
          <w:sz w:val="30"/>
          <w:szCs w:val="30"/>
        </w:rPr>
        <w:t>本年度未用财政拨款经费列支公务用车运行维护费</w:t>
      </w:r>
      <w:r>
        <w:rPr>
          <w:rFonts w:hint="eastAsia" w:ascii="Times New Roman" w:hAnsi="Times New Roman" w:eastAsia="仿宋_GB2312" w:cs="仿宋_GB2312"/>
          <w:kern w:val="0"/>
          <w:sz w:val="30"/>
          <w:szCs w:val="30"/>
        </w:rPr>
        <w:t>；决算数较上年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的主要原因是：</w:t>
      </w:r>
      <w:r>
        <w:rPr>
          <w:rFonts w:hint="eastAsia" w:ascii="Times New Roman" w:hAnsi="Times New Roman" w:eastAsia="仿宋_GB2312" w:cs="仿宋_GB2312"/>
          <w:sz w:val="30"/>
          <w:szCs w:val="30"/>
        </w:rPr>
        <w:t>本年度未用财政拨款经费列支公务用车运行维护费。</w:t>
      </w:r>
    </w:p>
    <w:p>
      <w:pPr>
        <w:autoSpaceDE w:val="0"/>
        <w:autoSpaceDN w:val="0"/>
        <w:adjustRightInd w:val="0"/>
        <w:spacing w:line="600" w:lineRule="exact"/>
        <w:ind w:firstLine="600"/>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截至</w:t>
      </w:r>
      <w:r>
        <w:rPr>
          <w:rFonts w:ascii="Times New Roman" w:hAnsi="Times New Roman" w:eastAsia="仿宋_GB2312" w:cs="仿宋_GB2312"/>
          <w:kern w:val="0"/>
          <w:sz w:val="30"/>
          <w:szCs w:val="30"/>
        </w:rPr>
        <w:t>202</w:t>
      </w:r>
      <w:r>
        <w:rPr>
          <w:rFonts w:hint="eastAsia" w:ascii="Times New Roman" w:hAnsi="Times New Roman" w:eastAsia="仿宋_GB2312" w:cs="仿宋_GB2312"/>
          <w:kern w:val="0"/>
          <w:sz w:val="30"/>
          <w:szCs w:val="30"/>
        </w:rPr>
        <w:t>3年</w:t>
      </w:r>
      <w:r>
        <w:rPr>
          <w:rFonts w:ascii="Times New Roman" w:hAnsi="Times New Roman" w:eastAsia="仿宋_GB2312" w:cs="仿宋_GB2312"/>
          <w:kern w:val="0"/>
          <w:sz w:val="30"/>
          <w:szCs w:val="30"/>
        </w:rPr>
        <w:t>12</w:t>
      </w:r>
      <w:r>
        <w:rPr>
          <w:rFonts w:hint="eastAsia" w:ascii="Times New Roman" w:hAnsi="Times New Roman" w:eastAsia="仿宋_GB2312" w:cs="仿宋_GB2312"/>
          <w:kern w:val="0"/>
          <w:sz w:val="30"/>
          <w:szCs w:val="30"/>
        </w:rPr>
        <w:t>月</w:t>
      </w:r>
      <w:r>
        <w:rPr>
          <w:rFonts w:ascii="Times New Roman" w:hAnsi="Times New Roman" w:eastAsia="仿宋_GB2312" w:cs="仿宋_GB2312"/>
          <w:kern w:val="0"/>
          <w:sz w:val="30"/>
          <w:szCs w:val="30"/>
        </w:rPr>
        <w:t>31</w:t>
      </w:r>
      <w:r>
        <w:rPr>
          <w:rFonts w:hint="eastAsia" w:ascii="Times New Roman" w:hAnsi="Times New Roman" w:eastAsia="仿宋_GB2312" w:cs="仿宋_GB2312"/>
          <w:kern w:val="0"/>
          <w:sz w:val="30"/>
          <w:szCs w:val="30"/>
        </w:rPr>
        <w:t>日，使用财政拨款开支运行维护费的公务用车保有量为</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辆。</w:t>
      </w:r>
    </w:p>
    <w:p>
      <w:pPr>
        <w:autoSpaceDE w:val="0"/>
        <w:autoSpaceDN w:val="0"/>
        <w:adjustRightInd w:val="0"/>
        <w:spacing w:line="600" w:lineRule="exact"/>
        <w:ind w:firstLine="600"/>
        <w:rPr>
          <w:rFonts w:ascii="Times New Roman" w:hAnsi="Times New Roman" w:eastAsia="仿宋_GB2312" w:cs="仿宋_GB2312"/>
          <w:kern w:val="0"/>
          <w:sz w:val="30"/>
          <w:szCs w:val="30"/>
        </w:rPr>
      </w:pPr>
      <w:r>
        <w:rPr>
          <w:rFonts w:hint="eastAsia" w:ascii="Times New Roman" w:hAnsi="Times New Roman" w:eastAsia="仿宋_GB2312" w:cs="仿宋_GB2312"/>
          <w:kern w:val="0"/>
          <w:sz w:val="30"/>
          <w:szCs w:val="30"/>
        </w:rPr>
        <w:t>公务用车购置费预算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元，支出决算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元，与预算相比持平；较上年相比持平。决算数</w:t>
      </w:r>
      <w:r>
        <w:rPr>
          <w:rFonts w:hint="eastAsia" w:ascii="Times New Roman" w:hAnsi="Times New Roman" w:eastAsia="仿宋_GB2312" w:cs="仿宋_GB2312"/>
          <w:sz w:val="30"/>
          <w:szCs w:val="30"/>
        </w:rPr>
        <w:t>等于</w:t>
      </w:r>
      <w:r>
        <w:rPr>
          <w:rFonts w:hint="eastAsia" w:ascii="Times New Roman" w:hAnsi="Times New Roman" w:eastAsia="仿宋_GB2312" w:cs="仿宋_GB2312"/>
          <w:kern w:val="0"/>
          <w:sz w:val="30"/>
          <w:szCs w:val="30"/>
        </w:rPr>
        <w:t>预算数的主要原因是：</w:t>
      </w:r>
      <w:r>
        <w:rPr>
          <w:rFonts w:hint="eastAsia" w:ascii="Times New Roman" w:hAnsi="Times New Roman" w:eastAsia="仿宋_GB2312" w:cs="仿宋_GB2312"/>
          <w:sz w:val="30"/>
          <w:szCs w:val="30"/>
        </w:rPr>
        <w:t>本年度未用财政拨款经费列支公务用车购置费</w:t>
      </w:r>
      <w:r>
        <w:rPr>
          <w:rFonts w:hint="eastAsia" w:ascii="Times New Roman" w:hAnsi="Times New Roman" w:eastAsia="仿宋_GB2312" w:cs="仿宋_GB2312"/>
          <w:kern w:val="0"/>
          <w:sz w:val="30"/>
          <w:szCs w:val="30"/>
        </w:rPr>
        <w:t>；决算数较上年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的主要原因是：</w:t>
      </w:r>
      <w:r>
        <w:rPr>
          <w:rFonts w:hint="eastAsia" w:ascii="Times New Roman" w:hAnsi="Times New Roman" w:eastAsia="仿宋_GB2312" w:cs="仿宋_GB2312"/>
          <w:sz w:val="30"/>
          <w:szCs w:val="30"/>
        </w:rPr>
        <w:t>本年度未用财政拨款经费列支公务用车购置费。</w:t>
      </w:r>
    </w:p>
    <w:p>
      <w:pPr>
        <w:autoSpaceDE w:val="0"/>
        <w:autoSpaceDN w:val="0"/>
        <w:adjustRightInd w:val="0"/>
        <w:spacing w:line="600" w:lineRule="exact"/>
        <w:ind w:firstLine="600"/>
        <w:rPr>
          <w:rFonts w:ascii="Times New Roman" w:hAnsi="Times New Roman" w:eastAsia="仿宋_GB2312" w:cs="仿宋_GB2312"/>
          <w:kern w:val="0"/>
          <w:sz w:val="30"/>
          <w:szCs w:val="30"/>
        </w:rPr>
      </w:pPr>
      <w:r>
        <w:rPr>
          <w:rFonts w:ascii="Times New Roman" w:hAnsi="Times New Roman" w:eastAsia="仿宋_GB2312" w:cs="仿宋_GB2312"/>
          <w:kern w:val="0"/>
          <w:sz w:val="30"/>
          <w:szCs w:val="30"/>
        </w:rPr>
        <w:t>202</w:t>
      </w:r>
      <w:r>
        <w:rPr>
          <w:rFonts w:hint="eastAsia" w:ascii="Times New Roman" w:hAnsi="Times New Roman" w:eastAsia="仿宋_GB2312" w:cs="仿宋_GB2312"/>
          <w:kern w:val="0"/>
          <w:sz w:val="30"/>
          <w:szCs w:val="30"/>
        </w:rPr>
        <w:t>3年购置公务用车</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辆。</w:t>
      </w:r>
    </w:p>
    <w:p>
      <w:pPr>
        <w:autoSpaceDE w:val="0"/>
        <w:autoSpaceDN w:val="0"/>
        <w:adjustRightInd w:val="0"/>
        <w:spacing w:line="600" w:lineRule="exact"/>
        <w:ind w:firstLine="645"/>
        <w:rPr>
          <w:rFonts w:ascii="Times New Roman" w:hAnsi="Times New Roman" w:eastAsia="仿宋_GB2312" w:cs="仿宋_GB2312"/>
          <w:kern w:val="0"/>
          <w:sz w:val="30"/>
          <w:szCs w:val="30"/>
        </w:rPr>
      </w:pPr>
      <w:r>
        <w:rPr>
          <w:rFonts w:ascii="Times New Roman" w:hAnsi="Times New Roman" w:eastAsia="仿宋_GB2312" w:cs="仿宋_GB2312"/>
          <w:kern w:val="0"/>
          <w:sz w:val="30"/>
          <w:szCs w:val="30"/>
        </w:rPr>
        <w:t>3.</w:t>
      </w:r>
      <w:r>
        <w:rPr>
          <w:rFonts w:hint="eastAsia" w:ascii="Times New Roman" w:hAnsi="Times New Roman" w:eastAsia="仿宋_GB2312" w:cs="仿宋_GB2312"/>
          <w:kern w:val="0"/>
          <w:sz w:val="30"/>
          <w:szCs w:val="30"/>
        </w:rPr>
        <w:t>公务接待费预算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元，支出决算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元，与预算相比持平；较上年相比持平。决算数</w:t>
      </w:r>
      <w:r>
        <w:rPr>
          <w:rFonts w:hint="eastAsia" w:ascii="Times New Roman" w:hAnsi="Times New Roman" w:eastAsia="仿宋_GB2312" w:cs="仿宋_GB2312"/>
          <w:sz w:val="30"/>
          <w:szCs w:val="30"/>
        </w:rPr>
        <w:t>等于</w:t>
      </w:r>
      <w:r>
        <w:rPr>
          <w:rFonts w:hint="eastAsia" w:ascii="Times New Roman" w:hAnsi="Times New Roman" w:eastAsia="仿宋_GB2312" w:cs="仿宋_GB2312"/>
          <w:kern w:val="0"/>
          <w:sz w:val="30"/>
          <w:szCs w:val="30"/>
        </w:rPr>
        <w:t>预算数的主要原因是：</w:t>
      </w:r>
      <w:r>
        <w:rPr>
          <w:rFonts w:hint="eastAsia" w:ascii="Times New Roman" w:hAnsi="Times New Roman" w:eastAsia="仿宋_GB2312" w:cs="仿宋_GB2312"/>
          <w:sz w:val="30"/>
          <w:szCs w:val="30"/>
        </w:rPr>
        <w:t>本年度未用财政拨款经费列支公务接待费</w:t>
      </w:r>
      <w:r>
        <w:rPr>
          <w:rFonts w:hint="eastAsia" w:ascii="Times New Roman" w:hAnsi="Times New Roman" w:eastAsia="仿宋_GB2312" w:cs="仿宋_GB2312"/>
          <w:kern w:val="0"/>
          <w:sz w:val="30"/>
          <w:szCs w:val="30"/>
        </w:rPr>
        <w:t>；决算数较上年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的主要原因是：</w:t>
      </w:r>
      <w:r>
        <w:rPr>
          <w:rFonts w:hint="eastAsia" w:ascii="Times New Roman" w:hAnsi="Times New Roman" w:eastAsia="仿宋_GB2312" w:cs="仿宋_GB2312"/>
          <w:sz w:val="30"/>
          <w:szCs w:val="30"/>
        </w:rPr>
        <w:t>本年度未用财政拨款经费列支公务接待费。</w:t>
      </w:r>
    </w:p>
    <w:p>
      <w:pPr>
        <w:autoSpaceDE w:val="0"/>
        <w:autoSpaceDN w:val="0"/>
        <w:adjustRightInd w:val="0"/>
        <w:spacing w:line="600" w:lineRule="exact"/>
        <w:ind w:firstLine="645"/>
        <w:rPr>
          <w:rFonts w:ascii="Times New Roman" w:hAnsi="Times New Roman" w:eastAsia="仿宋_GB2312" w:cs="仿宋_GB2312"/>
          <w:kern w:val="0"/>
          <w:sz w:val="30"/>
          <w:szCs w:val="30"/>
        </w:rPr>
      </w:pPr>
      <w:r>
        <w:rPr>
          <w:rFonts w:ascii="Times New Roman" w:hAnsi="Times New Roman" w:eastAsia="仿宋_GB2312" w:cs="仿宋_GB2312"/>
          <w:kern w:val="0"/>
          <w:sz w:val="30"/>
          <w:szCs w:val="30"/>
        </w:rPr>
        <w:t>202</w:t>
      </w:r>
      <w:r>
        <w:rPr>
          <w:rFonts w:hint="eastAsia" w:ascii="Times New Roman" w:hAnsi="Times New Roman" w:eastAsia="仿宋_GB2312" w:cs="仿宋_GB2312"/>
          <w:kern w:val="0"/>
          <w:sz w:val="30"/>
          <w:szCs w:val="30"/>
        </w:rPr>
        <w:t>3年本单位国内公务接待</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批次，</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人次；其中，外事接待</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批次，</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人次。</w:t>
      </w:r>
    </w:p>
    <w:p>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十、机关运行经费支出情况说明</w:t>
      </w:r>
    </w:p>
    <w:p>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天津市蓟州区东二营镇东辛庄中心小学2023年度无机关运行经费。</w:t>
      </w:r>
    </w:p>
    <w:p>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十一、政府采购支出情况说明</w:t>
      </w:r>
    </w:p>
    <w:p>
      <w:pPr>
        <w:autoSpaceDE w:val="0"/>
        <w:autoSpaceDN w:val="0"/>
        <w:adjustRightInd w:val="0"/>
        <w:spacing w:line="600" w:lineRule="exact"/>
        <w:ind w:firstLine="600"/>
        <w:jc w:val="left"/>
        <w:rPr>
          <w:rFonts w:ascii="Times New Roman" w:hAnsi="Times New Roman" w:eastAsia="楷体" w:cs="Times New Roman"/>
          <w:kern w:val="0"/>
          <w:sz w:val="30"/>
          <w:szCs w:val="30"/>
          <w:highlight w:val="none"/>
        </w:rPr>
      </w:pPr>
      <w:r>
        <w:rPr>
          <w:rFonts w:hint="eastAsia" w:ascii="Times New Roman" w:hAnsi="Times New Roman" w:eastAsia="仿宋_GB2312" w:cs="仿宋_GB2312"/>
          <w:sz w:val="30"/>
          <w:szCs w:val="30"/>
          <w:highlight w:val="none"/>
          <w:lang w:eastAsia="zh-CN"/>
        </w:rPr>
        <w:t>天津市蓟州区东二营镇东辛庄中心小学2023年度无政府采购支出。</w:t>
      </w:r>
    </w:p>
    <w:p>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十二、</w:t>
      </w:r>
      <w:r>
        <w:rPr>
          <w:rFonts w:hint="eastAsia" w:ascii="Times New Roman" w:hAnsi="Times New Roman" w:eastAsia="黑体" w:cs="黑体"/>
          <w:b/>
          <w:bCs/>
          <w:kern w:val="0"/>
          <w:sz w:val="30"/>
          <w:szCs w:val="30"/>
          <w:highlight w:val="none"/>
        </w:rPr>
        <w:t>国有资产占有使用情况说明</w:t>
      </w:r>
    </w:p>
    <w:p>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天津市蓟州区东二营镇东辛庄中心小学2023年度无国有资产占有使用情况。</w:t>
      </w:r>
    </w:p>
    <w:p>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十三、</w:t>
      </w:r>
      <w:r>
        <w:rPr>
          <w:rFonts w:hint="eastAsia" w:ascii="Times New Roman" w:hAnsi="Times New Roman" w:eastAsia="黑体" w:cs="黑体"/>
          <w:b/>
          <w:bCs/>
          <w:kern w:val="0"/>
          <w:sz w:val="30"/>
          <w:szCs w:val="30"/>
          <w:highlight w:val="none"/>
        </w:rPr>
        <w:t>预算绩效情况说明</w:t>
      </w:r>
    </w:p>
    <w:p>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sz w:val="30"/>
          <w:szCs w:val="30"/>
          <w:highlight w:val="none"/>
          <w:lang w:eastAsia="zh-CN"/>
        </w:rPr>
        <w:t>天津市蓟州区东二营镇东辛庄中心小学2023年度没有项目支出，无需开展绩效自评。</w:t>
      </w:r>
    </w:p>
    <w:p>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十四、</w:t>
      </w:r>
      <w:r>
        <w:rPr>
          <w:rFonts w:hint="eastAsia" w:ascii="Times New Roman" w:hAnsi="Times New Roman" w:eastAsia="黑体" w:cs="黑体"/>
          <w:b/>
          <w:bCs/>
          <w:kern w:val="0"/>
          <w:sz w:val="30"/>
          <w:szCs w:val="30"/>
          <w:highlight w:val="none"/>
        </w:rPr>
        <w:t>教育、医疗卫生、社会保障和就业、住房保障、涉农补贴等民生支出情况说明</w:t>
      </w:r>
    </w:p>
    <w:p>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sz w:val="30"/>
          <w:szCs w:val="30"/>
          <w:highlight w:val="none"/>
          <w:lang w:eastAsia="zh-CN"/>
        </w:rPr>
        <w:t>2023年度，天津市蓟州区东二营镇东辛庄中心小学教育支出4,509,236.72元、社会保障和就业支出560,331.84 元、卫生健康支出231,473.52元。</w:t>
      </w:r>
    </w:p>
    <w:p>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rPr>
      </w:pPr>
    </w:p>
    <w:p>
      <w:pPr>
        <w:autoSpaceDE w:val="0"/>
        <w:autoSpaceDN w:val="0"/>
        <w:adjustRightInd w:val="0"/>
        <w:jc w:val="left"/>
        <w:rPr>
          <w:rFonts w:ascii="Times New Roman" w:hAnsi="Times New Roman" w:eastAsia="仿宋_GB2312" w:cs="仿宋_GB2312"/>
          <w:b/>
          <w:bCs/>
          <w:color w:val="000000"/>
          <w:kern w:val="0"/>
          <w:sz w:val="30"/>
          <w:szCs w:val="30"/>
          <w:highlight w:val="none"/>
        </w:rPr>
      </w:pPr>
      <w:r>
        <w:rPr>
          <w:rFonts w:ascii="Times New Roman" w:hAnsi="Times New Roman" w:eastAsia="仿宋_GB2312" w:cs="仿宋_GB2312"/>
          <w:b/>
          <w:bCs/>
          <w:color w:val="000000"/>
          <w:kern w:val="0"/>
          <w:sz w:val="30"/>
          <w:szCs w:val="30"/>
          <w:highlight w:val="none"/>
        </w:rPr>
        <w:br w:type="page"/>
      </w:r>
    </w:p>
    <w:p>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第四部分名词解释</w:t>
      </w:r>
    </w:p>
    <w:p>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p>
    <w:p>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hint="eastAsia" w:ascii="Times New Roman" w:hAnsi="Times New Roman" w:eastAsia="仿宋_GB2312" w:cs="仿宋_GB2312"/>
          <w:kern w:val="0"/>
          <w:sz w:val="30"/>
          <w:szCs w:val="30"/>
          <w:highlight w:val="none"/>
          <w:lang w:val="en-US" w:eastAsia="zh-CN"/>
        </w:rPr>
        <w:t>1</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ascii="Times New Roman" w:hAnsi="Times New Roman" w:eastAsia="仿宋_GB2312" w:cs="仿宋_GB2312"/>
          <w:kern w:val="0"/>
          <w:sz w:val="30"/>
          <w:szCs w:val="30"/>
          <w:highlight w:val="none"/>
        </w:rPr>
        <w:t>2.</w:t>
      </w:r>
      <w:r>
        <w:rPr>
          <w:rFonts w:hint="eastAsia" w:ascii="Times New Roman" w:hAnsi="Times New Roman" w:eastAsia="仿宋_GB2312" w:cs="仿宋_GB2312"/>
          <w:kern w:val="0"/>
          <w:sz w:val="30"/>
          <w:szCs w:val="30"/>
          <w:highlight w:val="none"/>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autoSpaceDE w:val="0"/>
        <w:autoSpaceDN w:val="0"/>
        <w:adjustRightInd w:val="0"/>
        <w:spacing w:line="600" w:lineRule="exact"/>
        <w:ind w:firstLine="600"/>
        <w:jc w:val="left"/>
        <w:rPr>
          <w:rFonts w:ascii="Times New Roman" w:hAnsi="Times New Roman"/>
          <w:highlight w:val="none"/>
        </w:rPr>
      </w:pPr>
      <w:r>
        <w:rPr>
          <w:rFonts w:ascii="Times New Roman" w:hAnsi="Times New Roman" w:eastAsia="仿宋_GB2312" w:cs="仿宋_GB2312"/>
          <w:kern w:val="0"/>
          <w:sz w:val="30"/>
          <w:szCs w:val="30"/>
          <w:highlight w:val="none"/>
        </w:rPr>
        <w:t>3.“</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是指各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燃料费、维修费、过桥过路费、保险费、安全奖励费用等支出；公务接待费反映单位按规定开支的各类公务接待（含外宾接待）支出。</w:t>
      </w:r>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altName w:val="微软雅黑"/>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g5M2VlNWZlZGYzZGM4ZjA3N2JiYzU5MDMwZWQxMDM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695CCA"/>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8DF3CF8"/>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4C4A5F"/>
    <w:rsid w:val="2666570F"/>
    <w:rsid w:val="26DB4B05"/>
    <w:rsid w:val="271B299E"/>
    <w:rsid w:val="27DD7C53"/>
    <w:rsid w:val="28180CF9"/>
    <w:rsid w:val="284E3F62"/>
    <w:rsid w:val="28612632"/>
    <w:rsid w:val="2A924D25"/>
    <w:rsid w:val="2BC20F83"/>
    <w:rsid w:val="2C800474"/>
    <w:rsid w:val="2C8F0671"/>
    <w:rsid w:val="2D5A0475"/>
    <w:rsid w:val="2DA05507"/>
    <w:rsid w:val="2E487134"/>
    <w:rsid w:val="2E8C3709"/>
    <w:rsid w:val="2EBE200C"/>
    <w:rsid w:val="2F146650"/>
    <w:rsid w:val="2F4978BB"/>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8F720EB"/>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9F2877"/>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0C4C"/>
    <w:rsid w:val="72701CEB"/>
    <w:rsid w:val="72B3615B"/>
    <w:rsid w:val="73724CC1"/>
    <w:rsid w:val="7455465F"/>
    <w:rsid w:val="75AB44BA"/>
    <w:rsid w:val="7891161B"/>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styleId="2">
    <w:name w:val="heading 1"/>
    <w:basedOn w:val="1"/>
    <w:next w:val="1"/>
    <w:link w:val="9"/>
    <w:qFormat/>
    <w:uiPriority w:val="99"/>
    <w:pPr>
      <w:autoSpaceDE w:val="0"/>
      <w:autoSpaceDN w:val="0"/>
      <w:adjustRightInd w:val="0"/>
      <w:jc w:val="left"/>
      <w:outlineLvl w:val="0"/>
    </w:pPr>
    <w:rPr>
      <w:rFonts w:ascii="方正小标宋简体" w:eastAsia="方正小标宋简体"/>
      <w:kern w:val="0"/>
      <w:sz w:val="24"/>
      <w:szCs w:val="24"/>
    </w:rPr>
  </w:style>
  <w:style w:type="paragraph" w:styleId="3">
    <w:name w:val="heading 2"/>
    <w:basedOn w:val="1"/>
    <w:next w:val="1"/>
    <w:link w:val="10"/>
    <w:qFormat/>
    <w:uiPriority w:val="99"/>
    <w:pPr>
      <w:autoSpaceDE w:val="0"/>
      <w:autoSpaceDN w:val="0"/>
      <w:adjustRightInd w:val="0"/>
      <w:jc w:val="left"/>
      <w:outlineLvl w:val="1"/>
    </w:pPr>
    <w:rPr>
      <w:rFonts w:ascii="方正小标宋简体" w:eastAsia="方正小标宋简体"/>
      <w:kern w:val="0"/>
      <w:sz w:val="24"/>
      <w:szCs w:val="24"/>
    </w:rPr>
  </w:style>
  <w:style w:type="character" w:default="1" w:styleId="8">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4">
    <w:name w:val="annotation text"/>
    <w:basedOn w:val="1"/>
    <w:semiHidden/>
    <w:unhideWhenUsed/>
    <w:qFormat/>
    <w:uiPriority w:val="99"/>
    <w:pPr>
      <w:jc w:val="left"/>
    </w:p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autoRedefine/>
    <w:unhideWhenUsed/>
    <w:qFormat/>
    <w:uiPriority w:val="99"/>
    <w:pPr>
      <w:tabs>
        <w:tab w:val="center" w:pos="4153"/>
        <w:tab w:val="right" w:pos="8306"/>
      </w:tabs>
      <w:snapToGrid w:val="0"/>
      <w:jc w:val="center"/>
    </w:pPr>
    <w:rPr>
      <w:sz w:val="18"/>
      <w:szCs w:val="18"/>
    </w:rPr>
  </w:style>
  <w:style w:type="character" w:customStyle="1" w:styleId="9">
    <w:name w:val="标题 1 字符"/>
    <w:basedOn w:val="8"/>
    <w:link w:val="2"/>
    <w:autoRedefine/>
    <w:qFormat/>
    <w:uiPriority w:val="99"/>
    <w:rPr>
      <w:rFonts w:ascii="方正小标宋简体" w:eastAsia="方正小标宋简体"/>
      <w:kern w:val="0"/>
      <w:sz w:val="24"/>
      <w:szCs w:val="24"/>
    </w:rPr>
  </w:style>
  <w:style w:type="character" w:customStyle="1" w:styleId="10">
    <w:name w:val="标题 2 字符"/>
    <w:basedOn w:val="8"/>
    <w:link w:val="3"/>
    <w:qFormat/>
    <w:uiPriority w:val="99"/>
    <w:rPr>
      <w:rFonts w:ascii="方正小标宋简体" w:eastAsia="方正小标宋简体"/>
      <w:kern w:val="0"/>
      <w:sz w:val="24"/>
      <w:szCs w:val="24"/>
    </w:rPr>
  </w:style>
  <w:style w:type="character" w:customStyle="1" w:styleId="11">
    <w:name w:val="页眉 字符"/>
    <w:basedOn w:val="8"/>
    <w:link w:val="6"/>
    <w:autoRedefine/>
    <w:qFormat/>
    <w:uiPriority w:val="99"/>
    <w:rPr>
      <w:sz w:val="18"/>
      <w:szCs w:val="18"/>
    </w:rPr>
  </w:style>
  <w:style w:type="character" w:customStyle="1" w:styleId="12">
    <w:name w:val="页脚 字符"/>
    <w:basedOn w:val="8"/>
    <w:link w:val="5"/>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3220</Words>
  <Characters>5638</Characters>
  <Lines>82</Lines>
  <Paragraphs>23</Paragraphs>
  <TotalTime>0</TotalTime>
  <ScaleCrop>false</ScaleCrop>
  <LinksUpToDate>false</LinksUpToDate>
  <CharactersWithSpaces>5662</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2023-08-11T08:11:00Z</dcterms:created>
  <dc:creator>office</dc:creator>
  <cp:lastModifiedBy>刘兆利</cp:lastModifiedBy>
  <dcterms:modified xsi:type="dcterms:W3CDTF">2024-09-05T00:49:02Z</dcterms:modified>
  <cp:revision>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A44E0A178634409BBBA50D5636087390_13</vt:lpwstr>
  </property>
</Properties>
</file>