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FE2" w:rsidRDefault="00300FE2">
      <w:pPr>
        <w:autoSpaceDE w:val="0"/>
        <w:autoSpaceDN w:val="0"/>
        <w:adjustRightInd w:val="0"/>
        <w:jc w:val="center"/>
        <w:rPr>
          <w:rFonts w:ascii="Times New Roman" w:eastAsia="方正小标宋简体" w:hAnsi="Times New Roman" w:cs="方正小标宋简体"/>
          <w:kern w:val="0"/>
          <w:sz w:val="48"/>
          <w:szCs w:val="48"/>
          <w:lang w:val="zh-CN"/>
        </w:rPr>
      </w:pPr>
    </w:p>
    <w:p w:rsidR="00300FE2" w:rsidRDefault="00300FE2">
      <w:pPr>
        <w:autoSpaceDE w:val="0"/>
        <w:autoSpaceDN w:val="0"/>
        <w:adjustRightInd w:val="0"/>
        <w:jc w:val="center"/>
        <w:rPr>
          <w:rFonts w:ascii="Times New Roman" w:eastAsia="方正小标宋简体" w:hAnsi="Times New Roman" w:cs="方正小标宋简体"/>
          <w:kern w:val="0"/>
          <w:sz w:val="48"/>
          <w:szCs w:val="48"/>
          <w:lang w:val="zh-CN"/>
        </w:rPr>
      </w:pPr>
    </w:p>
    <w:p w:rsidR="00300FE2" w:rsidRDefault="00300FE2">
      <w:pPr>
        <w:autoSpaceDE w:val="0"/>
        <w:autoSpaceDN w:val="0"/>
        <w:adjustRightInd w:val="0"/>
        <w:jc w:val="center"/>
        <w:rPr>
          <w:rFonts w:ascii="Times New Roman" w:eastAsia="方正小标宋简体" w:hAnsi="Times New Roman" w:cs="方正小标宋简体"/>
          <w:kern w:val="0"/>
          <w:sz w:val="48"/>
          <w:szCs w:val="48"/>
          <w:lang w:val="zh-CN"/>
        </w:rPr>
      </w:pPr>
    </w:p>
    <w:p w:rsidR="00300FE2" w:rsidRDefault="00300FE2">
      <w:pPr>
        <w:autoSpaceDE w:val="0"/>
        <w:autoSpaceDN w:val="0"/>
        <w:adjustRightInd w:val="0"/>
        <w:jc w:val="center"/>
        <w:rPr>
          <w:rFonts w:ascii="Times New Roman" w:eastAsia="方正小标宋简体" w:hAnsi="Times New Roman" w:cs="方正小标宋简体"/>
          <w:kern w:val="0"/>
          <w:sz w:val="48"/>
          <w:szCs w:val="48"/>
          <w:lang w:val="zh-CN"/>
        </w:rPr>
      </w:pPr>
    </w:p>
    <w:p w:rsidR="00300FE2" w:rsidRDefault="00300FE2">
      <w:pPr>
        <w:autoSpaceDE w:val="0"/>
        <w:autoSpaceDN w:val="0"/>
        <w:adjustRightInd w:val="0"/>
        <w:jc w:val="center"/>
        <w:rPr>
          <w:rFonts w:ascii="Times New Roman" w:eastAsia="方正小标宋简体" w:hAnsi="Times New Roman" w:cs="方正小标宋简体"/>
          <w:kern w:val="0"/>
          <w:sz w:val="48"/>
          <w:szCs w:val="48"/>
          <w:lang w:val="zh-CN"/>
        </w:rPr>
      </w:pPr>
    </w:p>
    <w:p w:rsidR="00300FE2" w:rsidRDefault="00300FE2">
      <w:pPr>
        <w:autoSpaceDE w:val="0"/>
        <w:autoSpaceDN w:val="0"/>
        <w:adjustRightInd w:val="0"/>
        <w:jc w:val="center"/>
        <w:rPr>
          <w:rFonts w:ascii="Times New Roman" w:eastAsia="方正小标宋简体" w:hAnsi="Times New Roman" w:cs="方正小标宋简体"/>
          <w:kern w:val="0"/>
          <w:sz w:val="48"/>
          <w:szCs w:val="48"/>
          <w:lang w:val="zh-CN"/>
        </w:rPr>
      </w:pPr>
    </w:p>
    <w:p w:rsidR="00300FE2" w:rsidRDefault="00300FE2">
      <w:pPr>
        <w:autoSpaceDE w:val="0"/>
        <w:autoSpaceDN w:val="0"/>
        <w:adjustRightInd w:val="0"/>
        <w:jc w:val="center"/>
        <w:rPr>
          <w:rFonts w:ascii="Times New Roman" w:eastAsia="方正小标宋简体" w:hAnsi="Times New Roman" w:cs="方正小标宋简体"/>
          <w:kern w:val="0"/>
          <w:sz w:val="48"/>
          <w:szCs w:val="48"/>
          <w:lang w:val="zh-CN"/>
        </w:rPr>
      </w:pPr>
    </w:p>
    <w:p w:rsidR="00300FE2" w:rsidRDefault="00300FE2">
      <w:pPr>
        <w:autoSpaceDE w:val="0"/>
        <w:autoSpaceDN w:val="0"/>
        <w:adjustRightInd w:val="0"/>
        <w:jc w:val="center"/>
        <w:rPr>
          <w:rFonts w:ascii="Times New Roman" w:eastAsia="方正小标宋简体" w:hAnsi="Times New Roman" w:cs="方正小标宋简体"/>
          <w:kern w:val="0"/>
          <w:sz w:val="48"/>
          <w:szCs w:val="48"/>
          <w:lang w:val="zh-CN"/>
        </w:rPr>
      </w:pPr>
    </w:p>
    <w:p w:rsidR="00300FE2" w:rsidRDefault="00C71CE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州区下营镇中心小学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300FE2" w:rsidRDefault="00300FE2">
      <w:pPr>
        <w:autoSpaceDE w:val="0"/>
        <w:autoSpaceDN w:val="0"/>
        <w:adjustRightInd w:val="0"/>
        <w:spacing w:line="580" w:lineRule="exact"/>
        <w:jc w:val="center"/>
        <w:rPr>
          <w:rFonts w:ascii="Times New Roman" w:eastAsia="黑体" w:hAnsi="Times New Roman" w:cs="黑体"/>
          <w:sz w:val="30"/>
          <w:szCs w:val="30"/>
        </w:rPr>
      </w:pPr>
    </w:p>
    <w:p w:rsidR="00300FE2" w:rsidRDefault="00300FE2">
      <w:pPr>
        <w:autoSpaceDE w:val="0"/>
        <w:autoSpaceDN w:val="0"/>
        <w:adjustRightInd w:val="0"/>
        <w:spacing w:line="580" w:lineRule="exact"/>
        <w:jc w:val="center"/>
        <w:rPr>
          <w:rFonts w:ascii="Times New Roman" w:eastAsia="黑体" w:hAnsi="Times New Roman" w:cs="黑体"/>
          <w:sz w:val="30"/>
          <w:szCs w:val="30"/>
        </w:rPr>
      </w:pPr>
    </w:p>
    <w:p w:rsidR="00300FE2" w:rsidRDefault="00300FE2">
      <w:pPr>
        <w:autoSpaceDE w:val="0"/>
        <w:autoSpaceDN w:val="0"/>
        <w:adjustRightInd w:val="0"/>
        <w:spacing w:line="580" w:lineRule="exact"/>
        <w:jc w:val="center"/>
        <w:rPr>
          <w:rFonts w:ascii="Times New Roman" w:eastAsia="黑体" w:hAnsi="Times New Roman" w:cs="黑体"/>
          <w:sz w:val="30"/>
          <w:szCs w:val="30"/>
        </w:rPr>
      </w:pPr>
    </w:p>
    <w:p w:rsidR="00300FE2" w:rsidRDefault="00300FE2">
      <w:pPr>
        <w:autoSpaceDE w:val="0"/>
        <w:autoSpaceDN w:val="0"/>
        <w:adjustRightInd w:val="0"/>
        <w:spacing w:line="580" w:lineRule="exact"/>
        <w:jc w:val="center"/>
        <w:rPr>
          <w:rFonts w:ascii="Times New Roman" w:eastAsia="黑体" w:hAnsi="Times New Roman" w:cs="黑体"/>
          <w:sz w:val="30"/>
          <w:szCs w:val="30"/>
        </w:rPr>
      </w:pPr>
    </w:p>
    <w:p w:rsidR="00300FE2" w:rsidRDefault="00300FE2">
      <w:pPr>
        <w:autoSpaceDE w:val="0"/>
        <w:autoSpaceDN w:val="0"/>
        <w:adjustRightInd w:val="0"/>
        <w:spacing w:line="580" w:lineRule="exact"/>
        <w:jc w:val="center"/>
        <w:rPr>
          <w:rFonts w:ascii="Times New Roman" w:eastAsia="黑体" w:hAnsi="Times New Roman" w:cs="黑体"/>
          <w:sz w:val="30"/>
          <w:szCs w:val="30"/>
        </w:rPr>
      </w:pPr>
    </w:p>
    <w:p w:rsidR="00300FE2" w:rsidRDefault="00C71CE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300FE2" w:rsidRDefault="00C71CE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300FE2" w:rsidRDefault="00300FE2">
      <w:pPr>
        <w:autoSpaceDE w:val="0"/>
        <w:autoSpaceDN w:val="0"/>
        <w:adjustRightInd w:val="0"/>
        <w:spacing w:line="600" w:lineRule="exact"/>
        <w:jc w:val="left"/>
        <w:rPr>
          <w:rFonts w:ascii="Times New Roman" w:eastAsia="黑体" w:hAnsi="Times New Roman" w:cs="黑体"/>
          <w:kern w:val="0"/>
          <w:sz w:val="30"/>
          <w:szCs w:val="30"/>
        </w:rPr>
      </w:pPr>
    </w:p>
    <w:p w:rsidR="00300FE2" w:rsidRDefault="00C71C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300FE2" w:rsidRDefault="00C71C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300FE2" w:rsidRDefault="00C71C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300FE2" w:rsidRDefault="00C71C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300FE2" w:rsidRDefault="00C71C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300FE2" w:rsidRDefault="00C71CE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00FE2" w:rsidRDefault="00C71CE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300FE2" w:rsidRDefault="00C71CE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300FE2" w:rsidRDefault="00C71C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州区下营镇中心小学全面负责学校的办学宗旨和业务范围是实施小学义务教育，促进基础教育发展。小学学历教育（相关社会服务）。</w:t>
      </w:r>
    </w:p>
    <w:p w:rsidR="00300FE2" w:rsidRDefault="00C71CE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300FE2" w:rsidRDefault="00C71C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300FE2" w:rsidRDefault="00C71C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p>
    <w:p w:rsidR="00300FE2" w:rsidRDefault="00C71CE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00FE2" w:rsidRDefault="00C71CE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300FE2" w:rsidRDefault="00300FE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300FE2" w:rsidRDefault="00C71C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300FE2" w:rsidRDefault="00C71C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300FE2" w:rsidRDefault="00C71C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300FE2" w:rsidRDefault="00C71C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300FE2" w:rsidRDefault="00C71C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300FE2" w:rsidRDefault="00C71C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300FE2" w:rsidRDefault="00C71C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300FE2" w:rsidRDefault="00C71C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300FE2" w:rsidRDefault="00C71C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300FE2" w:rsidRDefault="00C71C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300FE2" w:rsidRDefault="00C71C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300FE2" w:rsidRDefault="00C71CE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C71CE8" w:rsidRDefault="00C71CE8">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C71CE8" w:rsidRDefault="00C71CE8">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300FE2" w:rsidRDefault="00C71CE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州区下营镇小中心小学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财政拨款“三公”经费支出决算表为空表。</w:t>
      </w:r>
    </w:p>
    <w:p w:rsidR="00300FE2" w:rsidRDefault="00300FE2">
      <w:pPr>
        <w:autoSpaceDE w:val="0"/>
        <w:autoSpaceDN w:val="0"/>
        <w:adjustRightInd w:val="0"/>
        <w:spacing w:line="600" w:lineRule="exact"/>
        <w:ind w:firstLine="601"/>
        <w:jc w:val="left"/>
        <w:rPr>
          <w:rFonts w:ascii="Times New Roman" w:eastAsia="仿宋_GB2312" w:hAnsi="Times New Roman" w:cs="仿宋_GB2312"/>
          <w:sz w:val="30"/>
          <w:szCs w:val="30"/>
        </w:rPr>
      </w:pPr>
    </w:p>
    <w:p w:rsidR="00300FE2" w:rsidRDefault="00C71CE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300FE2" w:rsidRDefault="00300FE2">
      <w:pPr>
        <w:autoSpaceDE w:val="0"/>
        <w:autoSpaceDN w:val="0"/>
        <w:adjustRightInd w:val="0"/>
        <w:spacing w:line="580" w:lineRule="exact"/>
        <w:ind w:firstLine="600"/>
        <w:jc w:val="left"/>
        <w:rPr>
          <w:rFonts w:ascii="Times New Roman" w:eastAsia="黑体" w:hAnsi="Times New Roman" w:cs="黑体"/>
          <w:sz w:val="30"/>
          <w:szCs w:val="30"/>
          <w:lang w:val="zh-CN"/>
        </w:rPr>
      </w:pP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300FE2" w:rsidRDefault="00C71C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9,731,172.94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726,573.98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6.95%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：人员减少，公用经费减少。</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300FE2" w:rsidRDefault="00C71C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9,677,105.91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761,182.40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人员减少，公用经费减少。</w:t>
      </w:r>
    </w:p>
    <w:p w:rsidR="00300FE2" w:rsidRDefault="00C71C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9,502,016.06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98.19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lastRenderedPageBreak/>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175,089.85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1.81%</w:t>
      </w:r>
      <w:r>
        <w:rPr>
          <w:rFonts w:ascii="Times New Roman" w:eastAsia="仿宋_GB2312" w:hAnsi="Times New Roman" w:cs="仿宋_GB2312" w:hint="eastAsia"/>
          <w:sz w:val="30"/>
          <w:szCs w:val="30"/>
          <w:lang w:val="zh-CN"/>
        </w:rPr>
        <w:t>。</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300FE2" w:rsidRDefault="00C71CE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9,679,603.51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724,076.38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人员减少，公用经费减少。</w:t>
      </w:r>
    </w:p>
    <w:p w:rsidR="00300FE2" w:rsidRDefault="00C71CE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9,502,016.06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98.17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177,587.45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1.83%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300FE2" w:rsidRDefault="00C71CE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9,502,016.06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784,412.89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7.63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人员减少，公用经费减少。</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300FE2" w:rsidRDefault="00C71CE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300FE2" w:rsidRDefault="00C71CE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9,502,016.06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98.17%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784,412.89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7.63%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：人员减少，公用经费减少。</w:t>
      </w:r>
    </w:p>
    <w:p w:rsidR="00300FE2" w:rsidRDefault="00C71CE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300FE2" w:rsidRDefault="00C71CE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9,502,016.06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9,502,016.06</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8,023,025.53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84.43%</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1,048,731.84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11.04%</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430,258.69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4.53%.</w:t>
      </w:r>
    </w:p>
    <w:p w:rsidR="00300FE2" w:rsidRDefault="00C71CE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300FE2" w:rsidRDefault="00C71C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9,009,886.60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9,502,016.06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105.46%</w:t>
      </w:r>
      <w:r>
        <w:rPr>
          <w:rFonts w:ascii="Times New Roman" w:eastAsia="仿宋_GB2312" w:hAnsi="Times New Roman" w:cs="仿宋_GB2312" w:hint="eastAsia"/>
          <w:kern w:val="0"/>
          <w:sz w:val="30"/>
          <w:szCs w:val="30"/>
        </w:rPr>
        <w:t>。其中：</w:t>
      </w:r>
    </w:p>
    <w:p w:rsidR="00C71CE8" w:rsidRDefault="00C71CE8">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9,009,886.60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9,502,016.06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105.46%</w:t>
      </w:r>
      <w:r>
        <w:rPr>
          <w:rFonts w:ascii="Times New Roman" w:eastAsia="仿宋_GB2312" w:hAnsi="Times New Roman" w:cs="仿宋_GB2312" w:hint="eastAsia"/>
          <w:sz w:val="30"/>
          <w:szCs w:val="30"/>
        </w:rPr>
        <w:t>。其中：</w:t>
      </w:r>
    </w:p>
    <w:p w:rsidR="00C71CE8" w:rsidRDefault="00C71CE8">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7,586,093.08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8,023,025.53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105.76%</w:t>
      </w:r>
      <w:r>
        <w:rPr>
          <w:rFonts w:ascii="Times New Roman" w:eastAsia="仿宋_GB2312" w:hAnsi="Times New Roman" w:cs="仿宋_GB2312" w:hint="eastAsia"/>
          <w:sz w:val="30"/>
          <w:szCs w:val="30"/>
        </w:rPr>
        <w:t>，决算数大于年初预算数的主要原因是各项经费拨款充足。其中：</w:t>
      </w:r>
    </w:p>
    <w:p w:rsidR="00C71CE8" w:rsidRDefault="00C71CE8">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普通教育（款）年初预算为</w:t>
      </w:r>
      <w:r>
        <w:rPr>
          <w:rFonts w:ascii="Times New Roman" w:eastAsia="仿宋_GB2312" w:hAnsi="Times New Roman" w:cs="仿宋_GB2312" w:hint="eastAsia"/>
          <w:sz w:val="30"/>
          <w:szCs w:val="30"/>
        </w:rPr>
        <w:t>7,586,093.08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8,023,0</w:t>
      </w:r>
      <w:r>
        <w:rPr>
          <w:rFonts w:ascii="Times New Roman" w:eastAsia="仿宋_GB2312" w:hAnsi="Times New Roman" w:cs="仿宋_GB2312" w:hint="eastAsia"/>
          <w:sz w:val="30"/>
          <w:szCs w:val="30"/>
        </w:rPr>
        <w:t>25.53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105.76%</w:t>
      </w:r>
      <w:r>
        <w:rPr>
          <w:rFonts w:ascii="Times New Roman" w:eastAsia="仿宋_GB2312" w:hAnsi="Times New Roman" w:cs="仿宋_GB2312" w:hint="eastAsia"/>
          <w:sz w:val="30"/>
          <w:szCs w:val="30"/>
        </w:rPr>
        <w:t>，决算数大于年初预算数的主要原因是各项经费拨款充足。</w:t>
      </w:r>
    </w:p>
    <w:p w:rsidR="00C71CE8" w:rsidRDefault="00C71CE8">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小学教育（项）年初预算为</w:t>
      </w:r>
      <w:r>
        <w:rPr>
          <w:rFonts w:ascii="Times New Roman" w:eastAsia="仿宋_GB2312" w:hAnsi="Times New Roman" w:cs="仿宋_GB2312" w:hint="eastAsia"/>
          <w:sz w:val="30"/>
          <w:szCs w:val="30"/>
        </w:rPr>
        <w:t>7,586,093.08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8,023,025.53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105.76%</w:t>
      </w:r>
      <w:r>
        <w:rPr>
          <w:rFonts w:ascii="Times New Roman" w:eastAsia="仿宋_GB2312" w:hAnsi="Times New Roman" w:cs="仿宋_GB2312" w:hint="eastAsia"/>
          <w:sz w:val="30"/>
          <w:szCs w:val="30"/>
        </w:rPr>
        <w:t>，决算数大于年初预算数的主要原因是财政拨款充足。</w:t>
      </w:r>
    </w:p>
    <w:p w:rsidR="00C71CE8" w:rsidRDefault="00C71CE8">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社会保障和就业支出（类）年初预算为</w:t>
      </w:r>
      <w:r>
        <w:rPr>
          <w:rFonts w:ascii="Times New Roman" w:eastAsia="仿宋_GB2312" w:hAnsi="Times New Roman" w:cs="仿宋_GB2312" w:hint="eastAsia"/>
          <w:sz w:val="30"/>
          <w:szCs w:val="30"/>
        </w:rPr>
        <w:t>1,005,030.72</w:t>
      </w:r>
      <w:r>
        <w:rPr>
          <w:rFonts w:ascii="Times New Roman" w:eastAsia="仿宋_GB2312" w:hAnsi="Times New Roman" w:cs="仿宋_GB2312" w:hint="eastAsia"/>
          <w:sz w:val="30"/>
          <w:szCs w:val="30"/>
        </w:rPr>
        <w:t>元，支</w:t>
      </w:r>
      <w:r>
        <w:rPr>
          <w:rFonts w:ascii="Times New Roman" w:eastAsia="仿宋_GB2312" w:hAnsi="Times New Roman" w:cs="仿宋_GB2312" w:hint="eastAsia"/>
          <w:sz w:val="30"/>
          <w:szCs w:val="30"/>
        </w:rPr>
        <w:lastRenderedPageBreak/>
        <w:t>出决算为</w:t>
      </w:r>
      <w:r>
        <w:rPr>
          <w:rFonts w:ascii="Times New Roman" w:eastAsia="仿宋_GB2312" w:hAnsi="Times New Roman" w:cs="仿宋_GB2312" w:hint="eastAsia"/>
          <w:sz w:val="30"/>
          <w:szCs w:val="30"/>
        </w:rPr>
        <w:t>1,048,731.84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104.35%</w:t>
      </w:r>
      <w:r>
        <w:rPr>
          <w:rFonts w:ascii="Times New Roman" w:eastAsia="仿宋_GB2312" w:hAnsi="Times New Roman" w:cs="仿宋_GB2312" w:hint="eastAsia"/>
          <w:sz w:val="30"/>
          <w:szCs w:val="30"/>
        </w:rPr>
        <w:t>，决算数大于年初预算数的主要原因是保险基数调整。其中：</w:t>
      </w:r>
    </w:p>
    <w:p w:rsidR="00C71CE8" w:rsidRDefault="00C71CE8">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行政事业单位养老支出（款）年初预算为</w:t>
      </w:r>
      <w:r>
        <w:rPr>
          <w:rFonts w:ascii="Times New Roman" w:eastAsia="仿宋_GB2312" w:hAnsi="Times New Roman" w:cs="仿宋_GB2312" w:hint="eastAsia"/>
          <w:sz w:val="30"/>
          <w:szCs w:val="30"/>
        </w:rPr>
        <w:t>670,020.48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，支出决算为</w:t>
      </w:r>
      <w:r>
        <w:rPr>
          <w:rFonts w:ascii="Times New Roman" w:eastAsia="仿宋_GB2312" w:hAnsi="Times New Roman" w:cs="仿宋_GB2312" w:hint="eastAsia"/>
          <w:sz w:val="30"/>
          <w:szCs w:val="30"/>
        </w:rPr>
        <w:t>699,154.40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104.35%</w:t>
      </w:r>
      <w:r>
        <w:rPr>
          <w:rFonts w:ascii="Times New Roman" w:eastAsia="仿宋_GB2312" w:hAnsi="Times New Roman" w:cs="仿宋_GB2312" w:hint="eastAsia"/>
          <w:sz w:val="30"/>
          <w:szCs w:val="30"/>
        </w:rPr>
        <w:t>，决算数大于年初预算数的主要原因是保险基数调整。</w:t>
      </w:r>
    </w:p>
    <w:p w:rsidR="00C71CE8" w:rsidRDefault="00C71CE8">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670,020.48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699,154.40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104.35%</w:t>
      </w:r>
      <w:r>
        <w:rPr>
          <w:rFonts w:ascii="Times New Roman" w:eastAsia="仿宋_GB2312" w:hAnsi="Times New Roman" w:cs="仿宋_GB2312" w:hint="eastAsia"/>
          <w:sz w:val="30"/>
          <w:szCs w:val="30"/>
        </w:rPr>
        <w:t>，决算数大于年初预算数的主要原因是保险基数调整。</w:t>
      </w:r>
    </w:p>
    <w:p w:rsidR="00C71CE8" w:rsidRDefault="00C71CE8">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335,010.24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349,577.44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104.35%</w:t>
      </w:r>
      <w:r>
        <w:rPr>
          <w:rFonts w:ascii="Times New Roman" w:eastAsia="仿宋_GB2312" w:hAnsi="Times New Roman" w:cs="仿宋_GB2312" w:hint="eastAsia"/>
          <w:sz w:val="30"/>
          <w:szCs w:val="30"/>
        </w:rPr>
        <w:t>，决算数大于年初预算数的主要原因是缴费基数增加。</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卫生健康支出（类）年初预算为</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18,762.80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430,258.69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102.75%</w:t>
      </w:r>
      <w:r>
        <w:rPr>
          <w:rFonts w:ascii="Times New Roman" w:eastAsia="仿宋_GB2312" w:hAnsi="Times New Roman" w:cs="仿宋_GB2312" w:hint="eastAsia"/>
          <w:sz w:val="30"/>
          <w:szCs w:val="30"/>
        </w:rPr>
        <w:t>，决算数大于年初预算数的主要原因是缴费基数增加。其中：</w:t>
      </w:r>
    </w:p>
    <w:p w:rsidR="00C71CE8" w:rsidRDefault="00C71CE8">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行政事业单位医疗（款）年初预算为</w:t>
      </w:r>
      <w:r>
        <w:rPr>
          <w:rFonts w:ascii="Times New Roman" w:eastAsia="仿宋_GB2312" w:hAnsi="Times New Roman" w:cs="仿宋_GB2312" w:hint="eastAsia"/>
          <w:sz w:val="30"/>
          <w:szCs w:val="30"/>
        </w:rPr>
        <w:t>335,010.24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349,577.44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102.75%</w:t>
      </w:r>
      <w:r>
        <w:rPr>
          <w:rFonts w:ascii="Times New Roman" w:eastAsia="仿宋_GB2312" w:hAnsi="Times New Roman" w:cs="仿宋_GB2312" w:hint="eastAsia"/>
          <w:sz w:val="30"/>
          <w:szCs w:val="30"/>
        </w:rPr>
        <w:t>，决算数大于年初预算数的主要原因是缴费基数增加。</w:t>
      </w:r>
    </w:p>
    <w:p w:rsidR="00300FE2" w:rsidRDefault="00C71CE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335,010.24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430,258.69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102.75%</w:t>
      </w:r>
      <w:r>
        <w:rPr>
          <w:rFonts w:ascii="Times New Roman" w:eastAsia="仿宋_GB2312" w:hAnsi="Times New Roman" w:cs="仿宋_GB2312" w:hint="eastAsia"/>
          <w:sz w:val="30"/>
          <w:szCs w:val="30"/>
        </w:rPr>
        <w:t>，决算数大于年初预算数的主要原因是缴费基数增加。</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w:t>
      </w:r>
      <w:r>
        <w:rPr>
          <w:rFonts w:ascii="Times New Roman" w:eastAsia="黑体" w:hAnsi="Times New Roman" w:cs="黑体" w:hint="eastAsia"/>
          <w:b/>
          <w:bCs/>
          <w:kern w:val="0"/>
          <w:sz w:val="30"/>
          <w:szCs w:val="30"/>
        </w:rPr>
        <w:t>说明</w:t>
      </w:r>
    </w:p>
    <w:p w:rsidR="00300FE2" w:rsidRDefault="00C71CE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9,502,016.06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784,412.89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人员减少，公用经费减少。</w:t>
      </w:r>
      <w:r>
        <w:rPr>
          <w:rFonts w:ascii="Times New Roman" w:eastAsia="仿宋_GB2312" w:hAnsi="Times New Roman" w:cs="仿宋_GB2312" w:hint="eastAsia"/>
          <w:kern w:val="0"/>
          <w:sz w:val="30"/>
          <w:szCs w:val="30"/>
        </w:rPr>
        <w:t>其中：</w:t>
      </w:r>
    </w:p>
    <w:p w:rsidR="00300FE2" w:rsidRDefault="00C71CE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8,903,706.18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职业年金缴费、职工基本医疗保险缴费、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其他社会保障缴费、住房公积金、其他工资福利支出、退休费、生活补助、奖励金。</w:t>
      </w:r>
    </w:p>
    <w:p w:rsidR="00300FE2" w:rsidRDefault="00C71CE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598,309.88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费、培训费、专用材料费、劳务费。</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300FE2" w:rsidRDefault="00C71CE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300FE2" w:rsidRDefault="00C71C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71CE8" w:rsidRDefault="00C71CE8" w:rsidP="00C71CE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C71CE8" w:rsidRDefault="00C71CE8" w:rsidP="00C71CE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C71CE8" w:rsidRDefault="00C71CE8" w:rsidP="00C71CE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C71CE8" w:rsidRDefault="00C71CE8" w:rsidP="00C71CE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C71CE8" w:rsidRDefault="00C71CE8" w:rsidP="00C71CE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71CE8" w:rsidRDefault="00C71CE8" w:rsidP="00C71CE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C71CE8" w:rsidRDefault="00C71CE8" w:rsidP="00C71CE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C71CE8" w:rsidRDefault="00C71CE8" w:rsidP="00C71CE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71CE8" w:rsidRDefault="00C71CE8" w:rsidP="00C71CE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C71CE8" w:rsidRDefault="00C71CE8" w:rsidP="00C71CE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71CE8" w:rsidRDefault="00C71CE8" w:rsidP="00C71CE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300FE2" w:rsidRDefault="00C71CE8" w:rsidP="00C71CE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300FE2" w:rsidRDefault="00C71C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300FE2" w:rsidRDefault="00C71CE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300FE2" w:rsidRDefault="00C71C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年度无国有资产占有使用情况。</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300FE2" w:rsidRDefault="00C71C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229,156.88</w:t>
      </w:r>
      <w:r>
        <w:rPr>
          <w:rFonts w:ascii="Times New Roman" w:eastAsia="仿宋_GB2312" w:hAnsi="Times New Roman" w:cs="仿宋_GB2312" w:hint="eastAsia"/>
          <w:sz w:val="30"/>
          <w:szCs w:val="30"/>
        </w:rPr>
        <w:t>元，自评结果已随部门决算一并公开。</w:t>
      </w:r>
    </w:p>
    <w:p w:rsidR="00300FE2" w:rsidRDefault="00C71C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300FE2" w:rsidRDefault="00C71C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州区下营镇中心小学教育支出</w:t>
      </w:r>
      <w:r>
        <w:rPr>
          <w:rFonts w:ascii="Times New Roman" w:eastAsia="仿宋_GB2312" w:hAnsi="Times New Roman" w:cs="仿宋_GB2312" w:hint="eastAsia"/>
          <w:sz w:val="30"/>
          <w:szCs w:val="30"/>
        </w:rPr>
        <w:t>8,023,025.53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1,048,731.84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430,258.69</w:t>
      </w:r>
      <w:r>
        <w:rPr>
          <w:rFonts w:ascii="Times New Roman" w:eastAsia="仿宋_GB2312" w:hAnsi="Times New Roman" w:cs="仿宋_GB2312" w:hint="eastAsia"/>
          <w:sz w:val="30"/>
          <w:szCs w:val="30"/>
        </w:rPr>
        <w:t>元。</w:t>
      </w:r>
    </w:p>
    <w:p w:rsidR="00300FE2" w:rsidRDefault="00C71CE8">
      <w:pPr>
        <w:autoSpaceDE w:val="0"/>
        <w:autoSpaceDN w:val="0"/>
        <w:adjustRightInd w:val="0"/>
        <w:jc w:val="left"/>
        <w:rPr>
          <w:rFonts w:ascii="Times New Roman" w:eastAsia="仿宋_GB2312" w:hAnsi="Times New Roman" w:cs="仿宋_GB2312"/>
          <w:b/>
          <w:bCs/>
          <w:color w:val="000000"/>
          <w:kern w:val="0"/>
          <w:sz w:val="30"/>
          <w:szCs w:val="30"/>
        </w:rPr>
      </w:pPr>
      <w:bookmarkStart w:id="0" w:name="_GoBack"/>
      <w:bookmarkEnd w:id="0"/>
      <w:r>
        <w:rPr>
          <w:rFonts w:ascii="Times New Roman" w:eastAsia="仿宋_GB2312" w:hAnsi="Times New Roman" w:cs="仿宋_GB2312"/>
          <w:b/>
          <w:bCs/>
          <w:color w:val="000000"/>
          <w:kern w:val="0"/>
          <w:sz w:val="30"/>
          <w:szCs w:val="30"/>
        </w:rPr>
        <w:br w:type="page"/>
      </w:r>
    </w:p>
    <w:p w:rsidR="00300FE2" w:rsidRDefault="00C71CE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300FE2" w:rsidRDefault="00300FE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00FE2" w:rsidRDefault="00C71C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300FE2" w:rsidRDefault="00C71C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00FE2" w:rsidRDefault="00C71CE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00FE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0OTNmNWNkYmEwZDhjNWY5OGQ3MjRhZDMyNGQwM2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0FE2"/>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1CE8"/>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7332D6"/>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A556AB"/>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7907DD"/>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0613E"/>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794</Words>
  <Characters>4532</Characters>
  <Application>Microsoft Office Word</Application>
  <DocSecurity>0</DocSecurity>
  <Lines>37</Lines>
  <Paragraphs>10</Paragraphs>
  <ScaleCrop>false</ScaleCrop>
  <Company>HP Inc.</Company>
  <LinksUpToDate>false</LinksUpToDate>
  <CharactersWithSpaces>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169061ED30B247BCA466A728A44BE341</vt:lpwstr>
  </property>
</Properties>
</file>