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283D17">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1261AEEF">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27049578">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05FEA2DA">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5359182B">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4FD07B4C">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2B891C03">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731465E3">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03B1CFB1">
      <w:pPr>
        <w:autoSpaceDE w:val="0"/>
        <w:autoSpaceDN w:val="0"/>
        <w:adjustRightInd w:val="0"/>
        <w:jc w:val="center"/>
        <w:rPr>
          <w:rFonts w:ascii="Times New Roman" w:hAnsi="Times New Roman" w:eastAsia="方正小标宋简体" w:cs="方正小标宋简体"/>
          <w:kern w:val="0"/>
          <w:sz w:val="48"/>
          <w:szCs w:val="48"/>
          <w:highlight w:val="none"/>
          <w:lang w:val="zh-CN"/>
        </w:rPr>
      </w:pPr>
      <w:r>
        <w:rPr>
          <w:rFonts w:hint="eastAsia" w:ascii="Times New Roman" w:hAnsi="Times New Roman" w:eastAsia="方正小标宋简体" w:cs="方正小标宋简体"/>
          <w:kern w:val="0"/>
          <w:sz w:val="48"/>
          <w:szCs w:val="48"/>
          <w:highlight w:val="none"/>
          <w:lang w:val="zh-CN"/>
        </w:rPr>
        <w:t>天津市蓟州区邦均镇成人文化技术学校2023年度部门决算</w:t>
      </w:r>
    </w:p>
    <w:p w14:paraId="2A842143">
      <w:pPr>
        <w:autoSpaceDE w:val="0"/>
        <w:autoSpaceDN w:val="0"/>
        <w:adjustRightInd w:val="0"/>
        <w:spacing w:line="580" w:lineRule="exact"/>
        <w:jc w:val="center"/>
        <w:rPr>
          <w:rFonts w:ascii="Times New Roman" w:hAnsi="Times New Roman" w:eastAsia="黑体" w:cs="黑体"/>
          <w:sz w:val="30"/>
          <w:szCs w:val="30"/>
          <w:highlight w:val="none"/>
        </w:rPr>
      </w:pPr>
    </w:p>
    <w:p w14:paraId="2B0251E2">
      <w:pPr>
        <w:autoSpaceDE w:val="0"/>
        <w:autoSpaceDN w:val="0"/>
        <w:adjustRightInd w:val="0"/>
        <w:spacing w:line="580" w:lineRule="exact"/>
        <w:jc w:val="center"/>
        <w:rPr>
          <w:rFonts w:ascii="Times New Roman" w:hAnsi="Times New Roman" w:eastAsia="黑体" w:cs="黑体"/>
          <w:sz w:val="30"/>
          <w:szCs w:val="30"/>
          <w:highlight w:val="none"/>
        </w:rPr>
      </w:pPr>
    </w:p>
    <w:p w14:paraId="1BF428F0">
      <w:pPr>
        <w:autoSpaceDE w:val="0"/>
        <w:autoSpaceDN w:val="0"/>
        <w:adjustRightInd w:val="0"/>
        <w:spacing w:line="580" w:lineRule="exact"/>
        <w:jc w:val="center"/>
        <w:rPr>
          <w:rFonts w:ascii="Times New Roman" w:hAnsi="Times New Roman" w:eastAsia="黑体" w:cs="黑体"/>
          <w:sz w:val="30"/>
          <w:szCs w:val="30"/>
          <w:highlight w:val="none"/>
        </w:rPr>
      </w:pPr>
    </w:p>
    <w:p w14:paraId="6CD43AF6">
      <w:pPr>
        <w:autoSpaceDE w:val="0"/>
        <w:autoSpaceDN w:val="0"/>
        <w:adjustRightInd w:val="0"/>
        <w:spacing w:line="580" w:lineRule="exact"/>
        <w:jc w:val="center"/>
        <w:rPr>
          <w:rFonts w:ascii="Times New Roman" w:hAnsi="Times New Roman" w:eastAsia="黑体" w:cs="黑体"/>
          <w:sz w:val="30"/>
          <w:szCs w:val="30"/>
          <w:highlight w:val="none"/>
        </w:rPr>
      </w:pPr>
    </w:p>
    <w:p w14:paraId="7A27B95D">
      <w:pPr>
        <w:autoSpaceDE w:val="0"/>
        <w:autoSpaceDN w:val="0"/>
        <w:adjustRightInd w:val="0"/>
        <w:spacing w:line="580" w:lineRule="exact"/>
        <w:jc w:val="center"/>
        <w:rPr>
          <w:rFonts w:ascii="Times New Roman" w:hAnsi="Times New Roman" w:eastAsia="黑体" w:cs="黑体"/>
          <w:sz w:val="30"/>
          <w:szCs w:val="30"/>
          <w:highlight w:val="none"/>
        </w:rPr>
      </w:pPr>
    </w:p>
    <w:p w14:paraId="374911BB">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ascii="Times New Roman" w:hAnsi="Times New Roman" w:eastAsia="黑体" w:cs="黑体"/>
          <w:sz w:val="30"/>
          <w:szCs w:val="30"/>
          <w:highlight w:val="none"/>
        </w:rPr>
        <w:br w:type="page"/>
      </w:r>
    </w:p>
    <w:p w14:paraId="62B518D8">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hint="eastAsia" w:ascii="Times New Roman" w:hAnsi="Times New Roman" w:eastAsia="黑体" w:cs="黑体"/>
          <w:kern w:val="0"/>
          <w:sz w:val="44"/>
          <w:szCs w:val="44"/>
          <w:highlight w:val="none"/>
        </w:rPr>
        <w:t>目</w:t>
      </w:r>
      <w:r>
        <w:rPr>
          <w:rFonts w:hint="eastAsia" w:ascii="Times New Roman" w:hAnsi="Times New Roman" w:eastAsia="黑体" w:cs="黑体"/>
          <w:kern w:val="0"/>
          <w:sz w:val="44"/>
          <w:szCs w:val="44"/>
          <w:highlight w:val="none"/>
          <w:lang w:val="en-US" w:eastAsia="zh-CN"/>
        </w:rPr>
        <w:t xml:space="preserve">   </w:t>
      </w:r>
      <w:r>
        <w:rPr>
          <w:rFonts w:hint="eastAsia" w:ascii="Times New Roman" w:hAnsi="Times New Roman" w:eastAsia="黑体" w:cs="黑体"/>
          <w:kern w:val="0"/>
          <w:sz w:val="44"/>
          <w:szCs w:val="44"/>
          <w:highlight w:val="none"/>
        </w:rPr>
        <w:t>录</w:t>
      </w:r>
    </w:p>
    <w:p w14:paraId="65EF83B5">
      <w:pPr>
        <w:autoSpaceDE w:val="0"/>
        <w:autoSpaceDN w:val="0"/>
        <w:adjustRightInd w:val="0"/>
        <w:spacing w:line="600" w:lineRule="exact"/>
        <w:jc w:val="left"/>
        <w:rPr>
          <w:rFonts w:ascii="Times New Roman" w:hAnsi="Times New Roman" w:eastAsia="黑体" w:cs="黑体"/>
          <w:kern w:val="0"/>
          <w:sz w:val="30"/>
          <w:szCs w:val="30"/>
          <w:highlight w:val="none"/>
        </w:rPr>
      </w:pPr>
    </w:p>
    <w:p w14:paraId="4EF22838">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第一部分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概</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况</w:t>
      </w:r>
    </w:p>
    <w:p w14:paraId="597DA9A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一、主要职责</w:t>
      </w:r>
    </w:p>
    <w:p w14:paraId="67254E4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二、机构设置</w:t>
      </w:r>
    </w:p>
    <w:p w14:paraId="096FB376">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第二部分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年度部门决算表</w:t>
      </w:r>
    </w:p>
    <w:p w14:paraId="41B7BD2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一、收入支出决算总表</w:t>
      </w:r>
    </w:p>
    <w:p w14:paraId="4955095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二、收入决算表（按功能分类列示）</w:t>
      </w:r>
    </w:p>
    <w:p w14:paraId="146E16F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三、收入决算表（按单位列示）</w:t>
      </w:r>
    </w:p>
    <w:p w14:paraId="0E98B8F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四、支出决算表</w:t>
      </w:r>
    </w:p>
    <w:p w14:paraId="175BB06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五、财政拨款收入支出决算总表</w:t>
      </w:r>
    </w:p>
    <w:p w14:paraId="02CDCF6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六、一般公共预算财政拨款支出决算表</w:t>
      </w:r>
    </w:p>
    <w:p w14:paraId="21516A3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七、一般公共预算财政拨款基本支出决算表</w:t>
      </w:r>
    </w:p>
    <w:p w14:paraId="1DBA883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八、政府性基金预算财政拨款收入支出决算表</w:t>
      </w:r>
    </w:p>
    <w:p w14:paraId="1DF10AC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九、国有资本经营预算财政拨款收入支出决算表</w:t>
      </w:r>
    </w:p>
    <w:p w14:paraId="143B3C3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经费支出决算表</w:t>
      </w:r>
    </w:p>
    <w:p w14:paraId="4DD42E4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十一、项目支出决算表</w:t>
      </w:r>
    </w:p>
    <w:p w14:paraId="1111F99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十二、关于空表的说明</w:t>
      </w:r>
    </w:p>
    <w:p w14:paraId="4996494E">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第三部分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年度部门决算情况说明</w:t>
      </w:r>
    </w:p>
    <w:p w14:paraId="2AFBA01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一、收支决算总体情况说明</w:t>
      </w:r>
    </w:p>
    <w:p w14:paraId="7E501FF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二、收入决算情况说明</w:t>
      </w:r>
    </w:p>
    <w:p w14:paraId="0145FD3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三、支出决算情况说明</w:t>
      </w:r>
    </w:p>
    <w:p w14:paraId="0A1FA85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四、财政拨款收支决算总体情况说明</w:t>
      </w:r>
    </w:p>
    <w:p w14:paraId="5B0A37A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五、一般公共预算财政拨款支出决算情况说明</w:t>
      </w:r>
    </w:p>
    <w:p w14:paraId="7ED593D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六、一般公共预算财政拨款基本支出决算情况说明</w:t>
      </w:r>
    </w:p>
    <w:p w14:paraId="0926827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七、政府性基金预算财政拨款收支决算情况说明</w:t>
      </w:r>
    </w:p>
    <w:p w14:paraId="2826036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八、国有资本经营预算财政拨款收支决算情况说明</w:t>
      </w:r>
    </w:p>
    <w:p w14:paraId="31FDC08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经费支出决算情况说明</w:t>
      </w:r>
    </w:p>
    <w:p w14:paraId="2CA5B65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十、机关运行经费支出情况说明</w:t>
      </w:r>
    </w:p>
    <w:p w14:paraId="6CD7A2E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十一、政府采购支出情况说明</w:t>
      </w:r>
    </w:p>
    <w:p w14:paraId="0F122235">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十二、国有资产占有使用情况说明</w:t>
      </w:r>
    </w:p>
    <w:p w14:paraId="549D1BF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十三、预算绩效情况说明</w:t>
      </w:r>
    </w:p>
    <w:p w14:paraId="4515CDD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lang w:val="en"/>
        </w:rPr>
      </w:pPr>
      <w:r>
        <w:rPr>
          <w:rFonts w:hint="eastAsia" w:ascii="Times New Roman" w:hAnsi="Times New Roman" w:eastAsia="仿宋_GB2312" w:cs="仿宋_GB2312"/>
          <w:kern w:val="0"/>
          <w:sz w:val="30"/>
          <w:szCs w:val="30"/>
          <w:highlight w:val="none"/>
        </w:rPr>
        <w:t>十四、教育、医疗卫生、社会保障和就业、住房保障、涉农补贴等民生支出情况说明</w:t>
      </w:r>
    </w:p>
    <w:p w14:paraId="776E3175">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lang w:val="en"/>
        </w:rPr>
      </w:pPr>
      <w:r>
        <w:rPr>
          <w:rFonts w:hint="eastAsia" w:ascii="Times New Roman" w:hAnsi="Times New Roman" w:eastAsia="方正小标宋简体" w:cs="方正小标宋简体"/>
          <w:kern w:val="0"/>
          <w:sz w:val="30"/>
          <w:szCs w:val="30"/>
          <w:highlight w:val="none"/>
          <w:lang w:val="en"/>
        </w:rPr>
        <w:t>第四部分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val="en"/>
        </w:rPr>
        <w:t>名词解释</w:t>
      </w:r>
    </w:p>
    <w:p w14:paraId="698B7BD1">
      <w:pPr>
        <w:autoSpaceDE w:val="0"/>
        <w:autoSpaceDN w:val="0"/>
        <w:adjustRightInd w:val="0"/>
        <w:spacing w:line="700" w:lineRule="exact"/>
        <w:jc w:val="left"/>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2A52FC27">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第一部分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概</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况</w:t>
      </w:r>
    </w:p>
    <w:p w14:paraId="313FF1CD">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一、主要职责</w:t>
      </w:r>
    </w:p>
    <w:p w14:paraId="29F47402">
      <w:pPr>
        <w:autoSpaceDE w:val="0"/>
        <w:autoSpaceDN w:val="0"/>
        <w:adjustRightInd w:val="0"/>
        <w:spacing w:line="600" w:lineRule="exact"/>
        <w:ind w:firstLine="600" w:firstLineChars="2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（一）贯彻执行党和国家的教育方针、政策，执行国家和天津市有关教育工作的法律、法规、规章和政策。</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（二）研究拟订邦均镇成人教育发展战略、规划，拟订邦均镇教育成人教育发展的重点、规模和速度，并组织实施。</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（三）组织指导成人教育。</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（四）负责管理本单位教育经费使用情况。</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（五）主管邦均镇成人文化技术学校教师工作；负责教育劳资工作。</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（六）组织学校的思想政治工作、德育工作、体育与艺术教育工作及国防教育工作。</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bookmarkStart w:id="0" w:name="_GoBack"/>
      <w:bookmarkEnd w:id="0"/>
      <w:r>
        <w:rPr>
          <w:rFonts w:hint="eastAsia" w:ascii="Times New Roman" w:hAnsi="Times New Roman" w:eastAsia="仿宋_GB2312" w:cs="仿宋_GB2312"/>
          <w:sz w:val="30"/>
          <w:szCs w:val="30"/>
          <w:highlight w:val="none"/>
          <w:lang w:eastAsia="zh-CN"/>
        </w:rPr>
        <w:t>（七）完成区委、区政府、区教育局交办的其他工作。</w:t>
      </w:r>
    </w:p>
    <w:p w14:paraId="44113B82">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二、机构设置</w:t>
      </w:r>
    </w:p>
    <w:p w14:paraId="07E11A55">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天津市蓟州区邦均镇成人文化技术学校内设2个职能科室；下辖0个预算单位。纳入天津市蓟州区邦均镇成人文化技术学校2023年度部门决算编制范围的单位包括：</w:t>
      </w:r>
    </w:p>
    <w:p w14:paraId="0FB24E50">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天津市蓟州区邦均镇成人文化技术学校</w:t>
      </w:r>
    </w:p>
    <w:p w14:paraId="1AB5FFE4">
      <w:pPr>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0623AE27">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第二部分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年度部门决算表</w:t>
      </w:r>
    </w:p>
    <w:p w14:paraId="35B716A0">
      <w:pPr>
        <w:autoSpaceDE w:val="0"/>
        <w:autoSpaceDN w:val="0"/>
        <w:adjustRightInd w:val="0"/>
        <w:spacing w:line="600" w:lineRule="exact"/>
        <w:jc w:val="left"/>
        <w:rPr>
          <w:rFonts w:ascii="Times New Roman" w:hAnsi="Times New Roman" w:eastAsia="方正小标宋简体" w:cs="Times New Roman"/>
          <w:kern w:val="0"/>
          <w:sz w:val="24"/>
          <w:szCs w:val="24"/>
          <w:highlight w:val="none"/>
        </w:rPr>
      </w:pPr>
    </w:p>
    <w:p w14:paraId="0F2F9211">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一、《收入支出决算总表》</w:t>
      </w:r>
    </w:p>
    <w:p w14:paraId="3A8992A0">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二、《收入决算表（按功能分类列示）》</w:t>
      </w:r>
    </w:p>
    <w:p w14:paraId="27716E8D">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三、《收入决算表（按单位列示）》</w:t>
      </w:r>
    </w:p>
    <w:p w14:paraId="4B0ECAED">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四、《支出决算表》</w:t>
      </w:r>
    </w:p>
    <w:p w14:paraId="3151BD24">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五、《财政拨款收入支出决算总表》</w:t>
      </w:r>
    </w:p>
    <w:p w14:paraId="3E4FB78E">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六、《一般公共预算财政拨款支出决算表》</w:t>
      </w:r>
    </w:p>
    <w:p w14:paraId="4B33EADF">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七、《一般公共预算财政拨款基本支出决算表》</w:t>
      </w:r>
    </w:p>
    <w:p w14:paraId="60BB284D">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八、《政府性基金预算财政拨款收入支出决算表》</w:t>
      </w:r>
    </w:p>
    <w:p w14:paraId="23F1FE1F">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九、《国有资本经营预算财政拨款收入支出决算表》</w:t>
      </w:r>
    </w:p>
    <w:p w14:paraId="41E9F0D2">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十、《财政拨款</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三公</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经费支出决算表》</w:t>
      </w:r>
    </w:p>
    <w:p w14:paraId="039CA8CA">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十一、《项目支出决算表》</w:t>
      </w:r>
    </w:p>
    <w:p w14:paraId="4BB45948">
      <w:pPr>
        <w:autoSpaceDE w:val="0"/>
        <w:autoSpaceDN w:val="0"/>
        <w:adjustRightInd w:val="0"/>
        <w:spacing w:line="600" w:lineRule="exact"/>
        <w:jc w:val="left"/>
        <w:rPr>
          <w:rFonts w:ascii="Times New Roman" w:hAnsi="Times New Roman" w:eastAsia="黑体" w:cs="黑体"/>
          <w:b/>
          <w:bCs/>
          <w:kern w:val="0"/>
          <w:sz w:val="30"/>
          <w:szCs w:val="30"/>
          <w:highlight w:val="none"/>
        </w:rPr>
      </w:pPr>
      <w:r>
        <w:rPr>
          <w:rFonts w:ascii="Times New Roman" w:hAnsi="Times New Roman" w:eastAsia="楷体" w:cs="Times New Roman"/>
          <w:kern w:val="0"/>
          <w:sz w:val="24"/>
          <w:szCs w:val="24"/>
          <w:highlight w:val="none"/>
        </w:rPr>
        <w:br w:type="page"/>
      </w:r>
      <w:r>
        <w:rPr>
          <w:rFonts w:hint="eastAsia" w:ascii="Times New Roman" w:hAnsi="Times New Roman" w:eastAsia="黑体" w:cs="黑体"/>
          <w:b/>
          <w:bCs/>
          <w:kern w:val="0"/>
          <w:sz w:val="30"/>
          <w:szCs w:val="30"/>
          <w:highlight w:val="none"/>
        </w:rPr>
        <w:t>十二、关于空表的说明</w:t>
      </w:r>
    </w:p>
    <w:p w14:paraId="0D48E0B1">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1.天津市天津市蓟州区邦均镇成人文化技术学校2023年度政府性基金预算财政拨款收入支出决算表为空表。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2.天津市天津市蓟州区邦均镇成人文化技术学校2023年度国有资本经营预算财政拨款收入支出决算表为空表。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3.天津市蓟州区邦均镇成人文化技术学校2023年度一般公共预算财政拨款“三公”经费支出决算表为空表。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4. 天津市天津市蓟州区邦均镇成人文化技术学校2023年度项目支出决算表为空表。</w:t>
      </w:r>
    </w:p>
    <w:p w14:paraId="40F110AD">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1E68ADC8">
      <w:pPr>
        <w:keepNext/>
        <w:keepLines/>
        <w:autoSpaceDE w:val="0"/>
        <w:autoSpaceDN w:val="0"/>
        <w:adjustRightInd w:val="0"/>
        <w:spacing w:line="600" w:lineRule="exact"/>
        <w:ind w:firstLine="600"/>
        <w:jc w:val="left"/>
        <w:outlineLvl w:val="1"/>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第三部分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年度部门决算情况说明</w:t>
      </w:r>
    </w:p>
    <w:p w14:paraId="1BF07DD8">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p>
    <w:p w14:paraId="3E6F6340">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一、收入支出决算总体情况说明</w:t>
      </w:r>
    </w:p>
    <w:p w14:paraId="4B0DD292">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zh-CN" w:eastAsia="zh-CN"/>
        </w:rPr>
        <w:t>天津市蓟州区邦均镇成人文化技术学校2023年度收入、支出决算总计</w:t>
      </w:r>
      <w:r>
        <w:rPr>
          <w:rFonts w:hint="eastAsia" w:ascii="Times New Roman" w:hAnsi="Times New Roman" w:eastAsia="仿宋_GB2312" w:cs="仿宋_GB2312"/>
          <w:sz w:val="30"/>
          <w:szCs w:val="30"/>
          <w:highlight w:val="none"/>
          <w:lang w:eastAsia="zh-CN"/>
        </w:rPr>
        <w:t>603,165.35元，与2022年度相比，收、支总计各减少195,202.61元，下降24.45%，</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：在职人员调出。</w:t>
      </w:r>
    </w:p>
    <w:p w14:paraId="7048C6C4">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二、</w:t>
      </w:r>
      <w:r>
        <w:rPr>
          <w:rFonts w:hint="eastAsia" w:ascii="Times New Roman" w:hAnsi="Times New Roman" w:eastAsia="黑体" w:cs="黑体"/>
          <w:b/>
          <w:bCs/>
          <w:kern w:val="0"/>
          <w:sz w:val="30"/>
          <w:szCs w:val="30"/>
          <w:highlight w:val="none"/>
        </w:rPr>
        <w:t>收入决算情况</w:t>
      </w:r>
      <w:r>
        <w:rPr>
          <w:rFonts w:hint="eastAsia" w:ascii="Times New Roman" w:hAnsi="Times New Roman" w:eastAsia="黑体" w:cs="黑体"/>
          <w:b/>
          <w:bCs/>
          <w:kern w:val="0"/>
          <w:sz w:val="30"/>
          <w:szCs w:val="30"/>
          <w:highlight w:val="none"/>
          <w:lang w:val="zh-CN"/>
        </w:rPr>
        <w:t>说明</w:t>
      </w:r>
    </w:p>
    <w:p w14:paraId="0BC90AFD">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lang w:eastAsia="zh-CN"/>
        </w:rPr>
      </w:pPr>
      <w:r>
        <w:rPr>
          <w:rFonts w:hint="eastAsia" w:ascii="Times New Roman" w:hAnsi="Times New Roman" w:eastAsia="仿宋_GB2312" w:cs="仿宋_GB2312"/>
          <w:sz w:val="30"/>
          <w:szCs w:val="30"/>
          <w:highlight w:val="none"/>
          <w:lang w:eastAsia="zh-CN"/>
        </w:rPr>
        <w:t>天津市蓟州区邦均镇成人文化技术学校</w:t>
      </w:r>
      <w:r>
        <w:rPr>
          <w:rFonts w:hint="eastAsia" w:ascii="Times New Roman" w:hAnsi="Times New Roman" w:eastAsia="仿宋_GB2312" w:cs="Times New Roman"/>
          <w:sz w:val="30"/>
          <w:szCs w:val="30"/>
          <w:highlight w:val="none"/>
          <w:lang w:eastAsia="zh-CN"/>
        </w:rPr>
        <w:t>2023</w:t>
      </w:r>
      <w:r>
        <w:rPr>
          <w:rFonts w:hint="eastAsia" w:ascii="Times New Roman" w:hAnsi="Times New Roman" w:eastAsia="仿宋_GB2312" w:cs="仿宋_GB2312"/>
          <w:sz w:val="30"/>
          <w:szCs w:val="30"/>
          <w:highlight w:val="none"/>
          <w:lang w:val="zh-CN"/>
        </w:rPr>
        <w:t>年度本年收入合计</w:t>
      </w:r>
      <w:r>
        <w:rPr>
          <w:rFonts w:hint="eastAsia" w:ascii="Times New Roman" w:hAnsi="Times New Roman" w:eastAsia="仿宋_GB2312" w:cs="Times New Roman"/>
          <w:sz w:val="30"/>
          <w:szCs w:val="30"/>
          <w:highlight w:val="none"/>
          <w:lang w:eastAsia="zh-CN"/>
        </w:rPr>
        <w:t>603,165.35</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eastAsia="zh-CN"/>
        </w:rPr>
        <w:t>减少195,202.61</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lang w:val="zh-CN"/>
        </w:rPr>
        <w:t>主要原因是</w:t>
      </w:r>
      <w:r>
        <w:rPr>
          <w:rFonts w:hint="eastAsia"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lang w:eastAsia="zh-CN"/>
        </w:rPr>
        <w:t>在职人员调出。</w:t>
      </w:r>
    </w:p>
    <w:p w14:paraId="438CF2FE">
      <w:pPr>
        <w:autoSpaceDE w:val="0"/>
        <w:autoSpaceDN w:val="0"/>
        <w:adjustRightInd w:val="0"/>
        <w:spacing w:line="600" w:lineRule="exact"/>
        <w:ind w:firstLine="600"/>
        <w:jc w:val="left"/>
        <w:rPr>
          <w:rFonts w:hint="eastAsia" w:ascii="Times New Roman" w:hAnsi="Times New Roman" w:eastAsia="宋体" w:cs="Times New Roman"/>
          <w:sz w:val="30"/>
          <w:szCs w:val="30"/>
          <w:highlight w:val="none"/>
          <w:lang w:eastAsia="zh-CN"/>
        </w:rPr>
      </w:pP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lang w:val="zh-CN"/>
        </w:rPr>
        <w:t>一般公共预算财政拨款收入</w:t>
      </w:r>
      <w:r>
        <w:rPr>
          <w:rFonts w:hint="eastAsia" w:ascii="Times New Roman" w:hAnsi="Times New Roman" w:eastAsia="仿宋_GB2312" w:cs="Times New Roman"/>
          <w:sz w:val="30"/>
          <w:szCs w:val="30"/>
          <w:highlight w:val="none"/>
          <w:lang w:eastAsia="zh-CN"/>
        </w:rPr>
        <w:t>603,141.42</w:t>
      </w:r>
      <w:r>
        <w:rPr>
          <w:rFonts w:hint="eastAsia" w:ascii="Times New Roman" w:hAnsi="Times New Roman" w:eastAsia="仿宋_GB2312" w:cs="仿宋_GB2312"/>
          <w:sz w:val="30"/>
          <w:szCs w:val="30"/>
          <w:highlight w:val="none"/>
          <w:lang w:val="zh-CN"/>
        </w:rPr>
        <w:t>元</w:t>
      </w:r>
      <w:r>
        <w:rPr>
          <w:rFonts w:ascii="Times New Roman" w:hAnsi="Times New Roman" w:eastAsia="仿宋_GB2312" w:cs="仿宋_GB2312"/>
          <w:sz w:val="30"/>
          <w:szCs w:val="30"/>
          <w:highlight w:val="none"/>
          <w:lang w:val="zh-CN"/>
        </w:rPr>
        <w:t>，占</w:t>
      </w:r>
      <w:r>
        <w:rPr>
          <w:rFonts w:hint="eastAsia" w:ascii="Times New Roman" w:hAnsi="Times New Roman" w:eastAsia="仿宋_GB2312" w:cs="Times New Roman"/>
          <w:sz w:val="30"/>
          <w:szCs w:val="30"/>
          <w:highlight w:val="none"/>
          <w:lang w:eastAsia="zh-CN"/>
        </w:rPr>
        <w:t>100.0</w:t>
      </w:r>
      <w:r>
        <w:rPr>
          <w:rFonts w:hint="eastAsia" w:ascii="Times New Roman" w:hAnsi="Times New Roman" w:eastAsia="宋体" w:cs="Times New Roman"/>
          <w:sz w:val="30"/>
          <w:szCs w:val="30"/>
          <w:highlight w:val="none"/>
          <w:lang w:eastAsia="zh-CN"/>
        </w:rPr>
        <w:t>%；</w:t>
      </w:r>
    </w:p>
    <w:p w14:paraId="5E8603D3">
      <w:pPr>
        <w:autoSpaceDE w:val="0"/>
        <w:autoSpaceDN w:val="0"/>
        <w:adjustRightInd w:val="0"/>
        <w:spacing w:line="600" w:lineRule="exact"/>
        <w:jc w:val="left"/>
        <w:rPr>
          <w:rFonts w:hint="eastAsia" w:ascii="Times New Roman" w:hAnsi="Times New Roman" w:eastAsia="仿宋_GB2312" w:cs="仿宋_GB2312"/>
          <w:sz w:val="30"/>
          <w:szCs w:val="30"/>
          <w:highlight w:val="none"/>
          <w:lang w:val="zh-CN"/>
        </w:rPr>
      </w:pPr>
      <w:r>
        <w:rPr>
          <w:rFonts w:ascii="Times New Roman" w:hAnsi="Times New Roman" w:eastAsia="仿宋_GB2312" w:cs="仿宋_GB2312"/>
          <w:sz w:val="30"/>
          <w:szCs w:val="30"/>
          <w:highlight w:val="none"/>
          <w:lang w:val="zh-CN"/>
        </w:rPr>
        <w:t>政府性基金预算财政拨款收入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国有资本经营预算财政拨款收入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财政专户管理资金收入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事业收入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事业单位经营收入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上级补助收入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eastAsia="仿宋_GB2312"/>
          <w:sz w:val="30"/>
          <w:szCs w:val="30"/>
          <w:highlight w:val="none"/>
        </w:rPr>
        <w:t>附属单位上缴收入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p>
    <w:p w14:paraId="5F4A24C3">
      <w:pPr>
        <w:autoSpaceDE w:val="0"/>
        <w:autoSpaceDN w:val="0"/>
        <w:adjustRightInd w:val="0"/>
        <w:spacing w:line="600" w:lineRule="exact"/>
        <w:jc w:val="left"/>
        <w:rPr>
          <w:rFonts w:hint="eastAsia" w:ascii="Times New Roman" w:hAnsi="Times New Roman" w:eastAsia="仿宋_GB2312" w:cs="仿宋_GB2312"/>
          <w:sz w:val="30"/>
          <w:szCs w:val="30"/>
          <w:highlight w:val="none"/>
          <w:lang w:val="en-US" w:eastAsia="zh-CN"/>
        </w:rPr>
      </w:pPr>
      <w:r>
        <w:rPr>
          <w:rFonts w:ascii="Times New Roman" w:hAnsi="Times New Roman" w:eastAsia="仿宋_GB2312" w:cs="仿宋_GB2312"/>
          <w:sz w:val="30"/>
          <w:szCs w:val="30"/>
          <w:highlight w:val="none"/>
          <w:lang w:val="zh-CN"/>
        </w:rPr>
        <w:t>其他收入</w:t>
      </w:r>
      <w:r>
        <w:rPr>
          <w:rFonts w:hint="eastAsia" w:ascii="Times New Roman" w:hAnsi="Times New Roman" w:eastAsia="仿宋_GB2312" w:cs="仿宋_GB2312"/>
          <w:sz w:val="30"/>
          <w:szCs w:val="30"/>
          <w:highlight w:val="none"/>
          <w:lang w:val="zh-CN"/>
        </w:rPr>
        <w:t>23.93元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hint="eastAsia" w:ascii="Times New Roman" w:hAnsi="Times New Roman" w:eastAsia="仿宋_GB2312" w:cs="仿宋_GB2312"/>
          <w:sz w:val="30"/>
          <w:szCs w:val="30"/>
          <w:highlight w:val="none"/>
          <w:lang w:val="zh-CN" w:eastAsia="zh-CN"/>
        </w:rPr>
        <w:t>。</w:t>
      </w:r>
    </w:p>
    <w:p w14:paraId="2731CC94">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三、支出</w:t>
      </w:r>
      <w:r>
        <w:rPr>
          <w:rFonts w:hint="eastAsia" w:ascii="Times New Roman" w:hAnsi="Times New Roman" w:eastAsia="黑体" w:cs="黑体"/>
          <w:b/>
          <w:bCs/>
          <w:kern w:val="0"/>
          <w:sz w:val="30"/>
          <w:szCs w:val="30"/>
          <w:highlight w:val="none"/>
        </w:rPr>
        <w:t>决算情况说明</w:t>
      </w:r>
    </w:p>
    <w:p w14:paraId="4211FD58">
      <w:pPr>
        <w:autoSpaceDE w:val="0"/>
        <w:autoSpaceDN w:val="0"/>
        <w:adjustRightInd w:val="0"/>
        <w:spacing w:line="580" w:lineRule="exact"/>
        <w:ind w:firstLine="600"/>
        <w:jc w:val="left"/>
        <w:rPr>
          <w:rFonts w:hint="eastAsia" w:ascii="Times New Roman" w:hAnsi="Times New Roman" w:eastAsia="仿宋_GB2312" w:cs="仿宋_GB2312"/>
          <w:kern w:val="0"/>
          <w:sz w:val="30"/>
          <w:szCs w:val="30"/>
          <w:highlight w:val="none"/>
          <w:lang w:eastAsia="zh-CN"/>
        </w:rPr>
      </w:pPr>
      <w:r>
        <w:rPr>
          <w:rFonts w:hint="eastAsia" w:ascii="Times New Roman" w:hAnsi="Times New Roman" w:eastAsia="仿宋_GB2312" w:cs="仿宋_GB2312"/>
          <w:sz w:val="30"/>
          <w:szCs w:val="30"/>
          <w:highlight w:val="none"/>
          <w:lang w:eastAsia="zh-CN"/>
        </w:rPr>
        <w:t>天津市蓟州区邦均镇成人文化技术学校</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年度本年支出合计</w:t>
      </w:r>
      <w:r>
        <w:rPr>
          <w:rFonts w:hint="eastAsia" w:ascii="Times New Roman" w:hAnsi="Times New Roman" w:eastAsia="仿宋_GB2312" w:cs="仿宋_GB2312"/>
          <w:sz w:val="30"/>
          <w:szCs w:val="30"/>
          <w:highlight w:val="none"/>
          <w:lang w:eastAsia="zh-CN"/>
        </w:rPr>
        <w:t>603,165.35</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195,202.61</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kern w:val="0"/>
          <w:sz w:val="30"/>
          <w:szCs w:val="30"/>
          <w:highlight w:val="none"/>
          <w:lang w:eastAsia="zh-CN"/>
        </w:rPr>
        <w:t>在职人员调出。</w:t>
      </w:r>
    </w:p>
    <w:p w14:paraId="00E71071">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rPr>
        <w:t>基本支出</w:t>
      </w:r>
      <w:r>
        <w:rPr>
          <w:rFonts w:hint="eastAsia" w:ascii="Times New Roman" w:hAnsi="Times New Roman" w:eastAsia="仿宋_GB2312" w:cs="仿宋_GB2312"/>
          <w:sz w:val="30"/>
          <w:szCs w:val="30"/>
          <w:highlight w:val="none"/>
          <w:lang w:eastAsia="zh-CN"/>
        </w:rPr>
        <w:t>603,165.35元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w:t>
      </w:r>
      <w:r>
        <w:rPr>
          <w:rFonts w:hint="eastAsia" w:ascii="Times New Roman" w:hAnsi="Times New Roman" w:eastAsia="仿宋_GB2312" w:cs="仿宋_GB2312"/>
          <w:sz w:val="30"/>
          <w:szCs w:val="30"/>
          <w:highlight w:val="none"/>
          <w:lang w:val="en-US" w:eastAsia="zh-CN"/>
        </w:rPr>
        <w:t>100.0</w:t>
      </w:r>
      <w:r>
        <w:rPr>
          <w:rFonts w:hint="eastAsia" w:ascii="Times New Roman" w:hAnsi="Times New Roman" w:eastAsia="仿宋_GB2312" w:cs="仿宋_GB2312"/>
          <w:sz w:val="30"/>
          <w:szCs w:val="30"/>
          <w:highlight w:val="none"/>
          <w:lang w:eastAsia="zh-CN"/>
        </w:rPr>
        <w:t>%；</w:t>
      </w:r>
      <w:r>
        <w:rPr>
          <w:rFonts w:ascii="Times New Roman" w:hAnsi="Times New Roman" w:eastAsia="仿宋_GB2312" w:cs="仿宋_GB2312"/>
          <w:sz w:val="30"/>
          <w:szCs w:val="30"/>
          <w:highlight w:val="none"/>
        </w:rPr>
        <w:t>项目支出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上缴上级支出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经营支出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对附属单位补助支出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p>
    <w:p w14:paraId="08DD52D6">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四、财政拨款收支决算总体情况说明</w:t>
      </w:r>
    </w:p>
    <w:p w14:paraId="04765FCB">
      <w:pPr>
        <w:autoSpaceDE w:val="0"/>
        <w:autoSpaceDN w:val="0"/>
        <w:adjustRightInd w:val="0"/>
        <w:spacing w:line="580" w:lineRule="exact"/>
        <w:ind w:firstLine="600"/>
        <w:jc w:val="left"/>
        <w:rPr>
          <w:rFonts w:ascii="Times New Roman" w:hAnsi="Times New Roman" w:eastAsia="仿宋_GB2312" w:cs="仿宋_GB2312"/>
          <w:sz w:val="30"/>
          <w:szCs w:val="30"/>
          <w:highlight w:val="none"/>
        </w:rPr>
      </w:pPr>
      <w:r>
        <w:rPr>
          <w:rFonts w:hint="eastAsia" w:ascii="Times New Roman" w:hAnsi="Times New Roman" w:eastAsia="仿宋_GB2312" w:cs="仿宋_GB2312"/>
          <w:sz w:val="30"/>
          <w:szCs w:val="30"/>
          <w:highlight w:val="none"/>
          <w:lang w:eastAsia="zh-CN"/>
        </w:rPr>
        <w:t>天津市蓟州区邦均镇成人文化技术学校</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年度财政拨款收入、支出决算总计</w:t>
      </w:r>
      <w:r>
        <w:rPr>
          <w:rFonts w:hint="eastAsia" w:ascii="Times New Roman" w:hAnsi="Times New Roman" w:eastAsia="仿宋_GB2312" w:cs="Times New Roman"/>
          <w:sz w:val="30"/>
          <w:szCs w:val="30"/>
          <w:highlight w:val="none"/>
          <w:lang w:val="zh-CN"/>
        </w:rPr>
        <w:t>603,141.42</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年度相比，财政拨款收、支总计各</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195,226.54</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sz w:val="30"/>
          <w:szCs w:val="30"/>
          <w:highlight w:val="none"/>
          <w:lang w:eastAsia="zh-CN"/>
        </w:rPr>
        <w:t>24.45</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lang w:eastAsia="zh-CN"/>
        </w:rPr>
        <w:t>在职人员调出。</w:t>
      </w:r>
    </w:p>
    <w:p w14:paraId="1E259A9E">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五、一般公共预算财政拨款支出决算情况说明</w:t>
      </w:r>
    </w:p>
    <w:p w14:paraId="1C445ED1">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（一）总体情况</w:t>
      </w:r>
    </w:p>
    <w:p w14:paraId="1FBBD3C9">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天津市蓟州区邦均镇成人文化技术学校2023年度部门决算一般公共预算财政拨款支出</w:t>
      </w:r>
      <w:r>
        <w:rPr>
          <w:rFonts w:hint="eastAsia" w:ascii="Times New Roman" w:hAnsi="Times New Roman" w:eastAsia="仿宋_GB2312" w:cs="仿宋_GB2312"/>
          <w:sz w:val="30"/>
          <w:szCs w:val="30"/>
          <w:highlight w:val="none"/>
          <w:lang w:val="zh-CN" w:eastAsia="zh-CN"/>
        </w:rPr>
        <w:t>合</w:t>
      </w:r>
      <w:r>
        <w:rPr>
          <w:rFonts w:hint="eastAsia" w:ascii="Times New Roman" w:hAnsi="Times New Roman" w:eastAsia="仿宋_GB2312" w:cs="仿宋_GB2312"/>
          <w:sz w:val="30"/>
          <w:szCs w:val="30"/>
          <w:highlight w:val="none"/>
          <w:lang w:eastAsia="zh-CN"/>
        </w:rPr>
        <w:t>计603,141.42元，占本年支出合计的100.0%，与2022年度相比，一般公共预算财政拨款支出</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195,226.54元，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sz w:val="30"/>
          <w:szCs w:val="30"/>
          <w:highlight w:val="none"/>
          <w:lang w:eastAsia="zh-CN"/>
        </w:rPr>
        <w:t>24.45%，</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：在职人员调出。</w:t>
      </w:r>
    </w:p>
    <w:p w14:paraId="44244DEE">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w:t>
      </w:r>
      <w:r>
        <w:rPr>
          <w:rFonts w:hint="eastAsia" w:ascii="Times New Roman" w:hAnsi="Times New Roman" w:eastAsia="楷体" w:cs="楷体"/>
          <w:b/>
          <w:bCs/>
          <w:kern w:val="0"/>
          <w:sz w:val="30"/>
          <w:szCs w:val="30"/>
          <w:highlight w:val="none"/>
          <w:lang w:val="zh-CN"/>
        </w:rPr>
        <w:t>支出结构</w:t>
      </w:r>
      <w:r>
        <w:rPr>
          <w:rFonts w:hint="eastAsia" w:ascii="Times New Roman" w:hAnsi="Times New Roman" w:eastAsia="楷体" w:cs="楷体"/>
          <w:b/>
          <w:bCs/>
          <w:kern w:val="0"/>
          <w:sz w:val="30"/>
          <w:szCs w:val="30"/>
          <w:highlight w:val="none"/>
        </w:rPr>
        <w:t>情况</w:t>
      </w:r>
    </w:p>
    <w:p w14:paraId="59DEE1F6">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2023</w:t>
      </w:r>
      <w:r>
        <w:rPr>
          <w:rFonts w:hint="eastAsia" w:ascii="Times New Roman" w:hAnsi="Times New Roman" w:eastAsia="仿宋_GB2312" w:cs="仿宋_GB2312"/>
          <w:sz w:val="30"/>
          <w:szCs w:val="30"/>
          <w:highlight w:val="none"/>
        </w:rPr>
        <w:t>年度一般公共预算财政拨款支出</w:t>
      </w:r>
      <w:r>
        <w:rPr>
          <w:rFonts w:hint="eastAsia" w:ascii="Times New Roman" w:hAnsi="Times New Roman" w:eastAsia="仿宋_GB2312" w:cs="Times New Roman"/>
          <w:sz w:val="30"/>
          <w:szCs w:val="30"/>
          <w:highlight w:val="none"/>
          <w:lang w:eastAsia="zh-CN"/>
        </w:rPr>
        <w:t>603,141.42</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主要用于以下方面：</w:t>
      </w:r>
      <w:r>
        <w:rPr>
          <w:rFonts w:hint="eastAsia" w:ascii="Times New Roman" w:hAnsi="Times New Roman" w:eastAsia="仿宋_GB2312" w:cs="仿宋_GB2312"/>
          <w:sz w:val="30"/>
          <w:szCs w:val="30"/>
          <w:highlight w:val="none"/>
          <w:lang w:eastAsia="zh-CN"/>
        </w:rPr>
        <w:t>教育支出（类）504,911.96元，占83.71%；社会保障和就业支出（类）69,508.80元，占1</w:t>
      </w:r>
      <w:r>
        <w:rPr>
          <w:rFonts w:hint="eastAsia" w:ascii="Times New Roman" w:hAnsi="Times New Roman" w:eastAsia="仿宋_GB2312" w:cs="仿宋_GB2312"/>
          <w:sz w:val="30"/>
          <w:szCs w:val="30"/>
          <w:highlight w:val="none"/>
          <w:lang w:val="en-US" w:eastAsia="zh-CN"/>
        </w:rPr>
        <w:t>1</w:t>
      </w:r>
      <w:r>
        <w:rPr>
          <w:rFonts w:hint="eastAsia" w:ascii="Times New Roman" w:hAnsi="Times New Roman" w:eastAsia="仿宋_GB2312" w:cs="仿宋_GB2312"/>
          <w:sz w:val="30"/>
          <w:szCs w:val="30"/>
          <w:highlight w:val="none"/>
          <w:lang w:eastAsia="zh-CN"/>
        </w:rPr>
        <w:t>.</w:t>
      </w:r>
      <w:r>
        <w:rPr>
          <w:rFonts w:hint="eastAsia" w:ascii="Times New Roman" w:hAnsi="Times New Roman" w:eastAsia="仿宋_GB2312" w:cs="仿宋_GB2312"/>
          <w:sz w:val="30"/>
          <w:szCs w:val="30"/>
          <w:highlight w:val="none"/>
          <w:lang w:val="en-US" w:eastAsia="zh-CN"/>
        </w:rPr>
        <w:t>52</w:t>
      </w:r>
      <w:r>
        <w:rPr>
          <w:rFonts w:hint="eastAsia" w:ascii="Times New Roman" w:hAnsi="Times New Roman" w:eastAsia="仿宋_GB2312" w:cs="仿宋_GB2312"/>
          <w:sz w:val="30"/>
          <w:szCs w:val="30"/>
          <w:highlight w:val="none"/>
          <w:lang w:eastAsia="zh-CN"/>
        </w:rPr>
        <w:t>%；卫生健康支出（类）28,720.66元，占4.76%。</w:t>
      </w:r>
    </w:p>
    <w:p w14:paraId="1703E310">
      <w:pPr>
        <w:autoSpaceDE w:val="0"/>
        <w:autoSpaceDN w:val="0"/>
        <w:adjustRightInd w:val="0"/>
        <w:spacing w:line="600" w:lineRule="exact"/>
        <w:ind w:left="480"/>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（三）具体情况</w:t>
      </w:r>
    </w:p>
    <w:p w14:paraId="5184BCA5">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eastAsia="zh-CN"/>
        </w:rPr>
        <w:t>2023</w:t>
      </w:r>
      <w:r>
        <w:rPr>
          <w:rFonts w:hint="eastAsia" w:ascii="Times New Roman" w:hAnsi="Times New Roman" w:eastAsia="仿宋_GB2312" w:cs="仿宋_GB2312"/>
          <w:kern w:val="0"/>
          <w:sz w:val="30"/>
          <w:szCs w:val="30"/>
          <w:highlight w:val="none"/>
        </w:rPr>
        <w:t>年度一般公共预算财政拨款支出年初预算为</w:t>
      </w:r>
      <w:r>
        <w:rPr>
          <w:rFonts w:hint="eastAsia" w:ascii="Times New Roman" w:hAnsi="Times New Roman" w:eastAsia="仿宋_GB2312" w:cs="Times New Roman"/>
          <w:sz w:val="30"/>
          <w:szCs w:val="30"/>
          <w:highlight w:val="none"/>
          <w:lang w:eastAsia="zh-CN"/>
        </w:rPr>
        <w:t>791,084.36</w:t>
      </w:r>
      <w:r>
        <w:rPr>
          <w:rFonts w:hint="eastAsia" w:ascii="Times New Roman" w:hAnsi="Times New Roman" w:eastAsia="仿宋_GB2312" w:cs="仿宋_GB2312"/>
          <w:kern w:val="0"/>
          <w:sz w:val="30"/>
          <w:szCs w:val="30"/>
          <w:highlight w:val="none"/>
        </w:rPr>
        <w:t>元，支出决算为</w:t>
      </w:r>
      <w:r>
        <w:rPr>
          <w:rFonts w:hint="eastAsia" w:ascii="Times New Roman" w:hAnsi="Times New Roman" w:eastAsia="仿宋_GB2312" w:cs="Times New Roman"/>
          <w:sz w:val="30"/>
          <w:szCs w:val="30"/>
          <w:highlight w:val="none"/>
          <w:lang w:eastAsia="zh-CN"/>
        </w:rPr>
        <w:t>603,141.42</w:t>
      </w:r>
      <w:r>
        <w:rPr>
          <w:rFonts w:hint="eastAsia" w:ascii="Times New Roman" w:hAnsi="Times New Roman" w:eastAsia="仿宋_GB2312" w:cs="仿宋_GB2312"/>
          <w:kern w:val="0"/>
          <w:sz w:val="30"/>
          <w:szCs w:val="30"/>
          <w:highlight w:val="none"/>
        </w:rPr>
        <w:t>元，完成年初预算的</w:t>
      </w:r>
      <w:r>
        <w:rPr>
          <w:rFonts w:hint="eastAsia" w:ascii="Times New Roman" w:hAnsi="Times New Roman" w:eastAsia="仿宋_GB2312" w:cs="Times New Roman"/>
          <w:sz w:val="30"/>
          <w:szCs w:val="30"/>
          <w:highlight w:val="none"/>
          <w:lang w:eastAsia="zh-CN"/>
        </w:rPr>
        <w:t>76.24%</w:t>
      </w:r>
      <w:r>
        <w:rPr>
          <w:rFonts w:hint="eastAsia" w:ascii="Times New Roman" w:hAnsi="Times New Roman" w:eastAsia="仿宋_GB2312" w:cs="仿宋_GB2312"/>
          <w:kern w:val="0"/>
          <w:sz w:val="30"/>
          <w:szCs w:val="30"/>
          <w:highlight w:val="none"/>
        </w:rPr>
        <w:t>。其中：</w:t>
      </w:r>
    </w:p>
    <w:p w14:paraId="3FAA4A52">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sz w:val="30"/>
          <w:szCs w:val="30"/>
          <w:highlight w:val="none"/>
          <w:lang w:eastAsia="zh-CN"/>
        </w:rPr>
        <w:t>1.教育支出（类）成人教育（款）成人初等教育（项）年初预算为656,497.4元，支出决算为504,911.96元，完成年初预算的76.91%，决算数小于年初预算数的主要原因是在职人员调出人员经费支出减少。</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2.社会保障和就业支出（类）行政事业单位养老支出（款）机关事业单位基本养老保险缴费支出（项）年初预算为63,335.04元，支出决算为46,339.2元，完成年初预算73.17%，决算数小于年初预算数的主要原因是在职人员减少缴费减少。</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3.社会保障和就业支出（类）行政事业单位养老支出（款）机关事业单位职业年金缴费支出（项）年初预算为31,667.52元，支出决算为23,169.6元，完成年初预算的73.17%，决算数小于年初预算数的主要原因是在职人员减少缴费减少。</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4.卫生健康支出（类）行政事业单位医疗支出（款）行政单位医疗（项）年初预算为39,584.4元，支出决算为28,720.66元，完成年初预算的72.56%，决算数小于年初预算数的主要原因是在职人员减少缴费减少。</w:t>
      </w:r>
    </w:p>
    <w:p w14:paraId="4A637427">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六、一般公共预算财政拨款基本支出决算情况说明</w:t>
      </w:r>
    </w:p>
    <w:p w14:paraId="615F7D58">
      <w:pPr>
        <w:autoSpaceDE w:val="0"/>
        <w:autoSpaceDN w:val="0"/>
        <w:adjustRightInd w:val="0"/>
        <w:spacing w:line="600" w:lineRule="exact"/>
        <w:ind w:firstLine="72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天津市蓟州区邦均镇成人文化技术学校</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年度部门决算一般公共预算财政拨款基本支出合计</w:t>
      </w:r>
      <w:r>
        <w:rPr>
          <w:rFonts w:hint="eastAsia" w:ascii="Times New Roman" w:hAnsi="Times New Roman" w:eastAsia="仿宋_GB2312" w:cs="Times New Roman"/>
          <w:sz w:val="30"/>
          <w:szCs w:val="30"/>
          <w:highlight w:val="none"/>
          <w:lang w:eastAsia="zh-CN"/>
        </w:rPr>
        <w:t>603,141.42</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195,226.54</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楷体_GB2312" w:cs="楷体_GB2312"/>
          <w:sz w:val="30"/>
          <w:szCs w:val="30"/>
          <w:highlight w:val="none"/>
        </w:rPr>
        <w:t>：</w:t>
      </w:r>
      <w:r>
        <w:rPr>
          <w:rFonts w:hint="eastAsia" w:ascii="Times New Roman" w:hAnsi="Times New Roman" w:eastAsia="仿宋_GB2312" w:cs="仿宋_GB2312"/>
          <w:sz w:val="30"/>
          <w:szCs w:val="30"/>
          <w:highlight w:val="none"/>
          <w:lang w:eastAsia="zh-CN"/>
        </w:rPr>
        <w:t>在职人员调出。</w:t>
      </w:r>
      <w:r>
        <w:rPr>
          <w:rFonts w:hint="eastAsia" w:ascii="Times New Roman" w:hAnsi="Times New Roman" w:eastAsia="仿宋_GB2312" w:cs="仿宋_GB2312"/>
          <w:kern w:val="0"/>
          <w:sz w:val="30"/>
          <w:szCs w:val="30"/>
          <w:highlight w:val="none"/>
        </w:rPr>
        <w:t>其中：</w:t>
      </w:r>
    </w:p>
    <w:p w14:paraId="69E384A9">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人员经费</w:t>
      </w:r>
      <w:r>
        <w:rPr>
          <w:rFonts w:hint="eastAsia" w:ascii="Times New Roman" w:hAnsi="Times New Roman" w:eastAsia="仿宋_GB2312" w:cs="Times New Roman"/>
          <w:sz w:val="30"/>
          <w:szCs w:val="30"/>
          <w:highlight w:val="none"/>
          <w:lang w:eastAsia="zh-CN"/>
        </w:rPr>
        <w:t>601,221.42</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基本工资、津贴补贴、奖金、机关事业单位基本养老保险缴费、职业年金缴费、职工基本医疗保险缴费、其他社会保障缴费、住房公积金、退休费、生活补助、其他对个人和家庭的补助。</w:t>
      </w:r>
    </w:p>
    <w:p w14:paraId="65667249">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公用经费</w:t>
      </w:r>
      <w:r>
        <w:rPr>
          <w:rFonts w:hint="eastAsia" w:ascii="Times New Roman" w:hAnsi="Times New Roman" w:eastAsia="仿宋_GB2312" w:cs="Times New Roman"/>
          <w:sz w:val="30"/>
          <w:szCs w:val="30"/>
          <w:highlight w:val="none"/>
          <w:lang w:eastAsia="zh-CN"/>
        </w:rPr>
        <w:t>1,920.00</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办公费。</w:t>
      </w:r>
    </w:p>
    <w:p w14:paraId="19A795DB">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七、政府性基金预算财政拨款收支决算情况</w:t>
      </w:r>
    </w:p>
    <w:p w14:paraId="159F3E12">
      <w:pPr>
        <w:autoSpaceDE w:val="0"/>
        <w:autoSpaceDN w:val="0"/>
        <w:adjustRightInd w:val="0"/>
        <w:spacing w:line="600" w:lineRule="exact"/>
        <w:ind w:firstLine="600"/>
        <w:jc w:val="left"/>
        <w:rPr>
          <w:rFonts w:hint="default" w:ascii="Times New Roman" w:hAnsi="Times New Roman" w:eastAsia="楷体" w:cs="楷体"/>
          <w:kern w:val="0"/>
          <w:sz w:val="30"/>
          <w:szCs w:val="30"/>
          <w:highlight w:val="none"/>
          <w:lang w:val="en-US"/>
        </w:rPr>
      </w:pPr>
      <w:r>
        <w:rPr>
          <w:rFonts w:hint="eastAsia" w:ascii="Times New Roman" w:hAnsi="Times New Roman" w:eastAsia="仿宋_GB2312" w:cs="仿宋_GB2312"/>
          <w:sz w:val="30"/>
          <w:szCs w:val="30"/>
          <w:highlight w:val="none"/>
          <w:lang w:eastAsia="zh-CN"/>
        </w:rPr>
        <w:t>天津市蓟州区邦均镇成人文化技术学校2023年度无政府性基金预算财政拨款收入、支出和结转结余。</w:t>
      </w:r>
      <w:r>
        <w:rPr>
          <w:rFonts w:hint="eastAsia" w:ascii="Times New Roman" w:hAnsi="Times New Roman" w:eastAsia="仿宋_GB2312" w:cs="仿宋_GB2312"/>
          <w:sz w:val="30"/>
          <w:szCs w:val="30"/>
          <w:highlight w:val="none"/>
          <w:lang w:val="en-US" w:eastAsia="zh-CN"/>
        </w:rPr>
        <w:tab/>
      </w:r>
    </w:p>
    <w:p w14:paraId="7D5734B4">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八、国有资本经营预算财政拨款收支决算情况说明</w:t>
      </w:r>
    </w:p>
    <w:p w14:paraId="4316801D">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天津市蓟州区邦均镇成人文化技术学校2023年度无国有资本经营预算财政拨款收入、支出和结转结余。</w:t>
      </w:r>
    </w:p>
    <w:p w14:paraId="4B0292FE">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九、财政拨款</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三公</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经费</w:t>
      </w:r>
      <w:r>
        <w:rPr>
          <w:rFonts w:hint="eastAsia" w:ascii="Times New Roman" w:hAnsi="Times New Roman" w:eastAsia="黑体" w:cs="黑体"/>
          <w:b/>
          <w:bCs/>
          <w:kern w:val="0"/>
          <w:sz w:val="30"/>
          <w:szCs w:val="30"/>
          <w:highlight w:val="none"/>
          <w:lang w:val="zh-CN"/>
        </w:rPr>
        <w:t>支出决算</w:t>
      </w:r>
      <w:r>
        <w:rPr>
          <w:rFonts w:hint="eastAsia" w:ascii="Times New Roman" w:hAnsi="Times New Roman" w:eastAsia="黑体" w:cs="黑体"/>
          <w:b/>
          <w:bCs/>
          <w:kern w:val="0"/>
          <w:sz w:val="30"/>
          <w:szCs w:val="30"/>
          <w:highlight w:val="none"/>
        </w:rPr>
        <w:t>情况</w:t>
      </w:r>
    </w:p>
    <w:p w14:paraId="281E43F8">
      <w:pPr>
        <w:autoSpaceDE w:val="0"/>
        <w:autoSpaceDN w:val="0"/>
        <w:adjustRightInd w:val="0"/>
        <w:spacing w:line="600" w:lineRule="exact"/>
        <w:ind w:firstLine="602"/>
        <w:jc w:val="left"/>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（一）总体情况</w:t>
      </w:r>
      <w:r>
        <w:rPr>
          <w:rFonts w:hint="eastAsia" w:ascii="Times New Roman" w:hAnsi="Times New Roman" w:eastAsia="楷体" w:cs="楷体"/>
          <w:b/>
          <w:bCs/>
          <w:kern w:val="0"/>
          <w:sz w:val="30"/>
          <w:szCs w:val="30"/>
        </w:rPr>
        <w:tab/>
      </w:r>
      <w:r>
        <w:rPr>
          <w:rFonts w:hint="eastAsia" w:ascii="Times New Roman" w:hAnsi="Times New Roman" w:eastAsia="楷体" w:cs="楷体"/>
          <w:b/>
          <w:bCs/>
          <w:kern w:val="0"/>
          <w:sz w:val="30"/>
          <w:szCs w:val="30"/>
        </w:rPr>
        <w:tab/>
      </w:r>
      <w:r>
        <w:rPr>
          <w:rFonts w:hint="eastAsia" w:ascii="Times New Roman" w:hAnsi="Times New Roman" w:eastAsia="楷体" w:cs="楷体"/>
          <w:b/>
          <w:bCs/>
          <w:kern w:val="0"/>
          <w:sz w:val="30"/>
          <w:szCs w:val="30"/>
        </w:rPr>
        <w:tab/>
      </w:r>
      <w:r>
        <w:rPr>
          <w:rFonts w:hint="eastAsia" w:ascii="Times New Roman" w:hAnsi="Times New Roman" w:eastAsia="楷体" w:cs="楷体"/>
          <w:b/>
          <w:bCs/>
          <w:kern w:val="0"/>
          <w:sz w:val="30"/>
          <w:szCs w:val="30"/>
        </w:rPr>
        <w:tab/>
      </w:r>
    </w:p>
    <w:p w14:paraId="5202A3A3">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3年财政拨款</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三公</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经费预算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w:t>
      </w: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本年度未用财政拨款经费列支“三公”经费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本年度未用财政拨款经费列支“三公”经费。</w:t>
      </w:r>
    </w:p>
    <w:p w14:paraId="5E159EC3">
      <w:pPr>
        <w:autoSpaceDE w:val="0"/>
        <w:autoSpaceDN w:val="0"/>
        <w:adjustRightInd w:val="0"/>
        <w:spacing w:line="600" w:lineRule="exact"/>
        <w:ind w:firstLine="602"/>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（二）具体情况</w:t>
      </w:r>
    </w:p>
    <w:p w14:paraId="2727E1AD">
      <w:pPr>
        <w:autoSpaceDE w:val="0"/>
        <w:autoSpaceDN w:val="0"/>
        <w:adjustRightInd w:val="0"/>
        <w:spacing w:line="600" w:lineRule="exact"/>
        <w:ind w:firstLine="600"/>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1.</w:t>
      </w:r>
      <w:r>
        <w:rPr>
          <w:rFonts w:hint="eastAsia" w:ascii="Times New Roman" w:hAnsi="Times New Roman" w:eastAsia="仿宋_GB2312" w:cs="仿宋_GB2312"/>
          <w:kern w:val="0"/>
          <w:sz w:val="30"/>
          <w:szCs w:val="30"/>
        </w:rPr>
        <w:t>因公出国（境）费预算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本年度未用财政拨款经费列支因公出国（境）费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本年度未用财政拨款经费列支因公出国（境）费。</w:t>
      </w:r>
    </w:p>
    <w:p w14:paraId="23D2B83A">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3年本单位组织的出国团组</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个，出国</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w:t>
      </w:r>
    </w:p>
    <w:p w14:paraId="20FD2146">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w:t>
      </w:r>
      <w:r>
        <w:rPr>
          <w:rFonts w:hint="eastAsia" w:ascii="Times New Roman" w:hAnsi="Times New Roman" w:eastAsia="仿宋_GB2312" w:cs="仿宋_GB2312"/>
          <w:kern w:val="0"/>
          <w:sz w:val="30"/>
          <w:szCs w:val="30"/>
        </w:rPr>
        <w:t>公务用车购置及运行维护费预算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kern w:val="0"/>
          <w:sz w:val="30"/>
          <w:szCs w:val="30"/>
        </w:rPr>
        <w:t>其中：</w:t>
      </w:r>
    </w:p>
    <w:p w14:paraId="111585DC">
      <w:pPr>
        <w:autoSpaceDE w:val="0"/>
        <w:autoSpaceDN w:val="0"/>
        <w:adjustRightInd w:val="0"/>
        <w:spacing w:line="600" w:lineRule="exact"/>
        <w:ind w:firstLine="600"/>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公务用车运行维护费预算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本年度未用财政拨款经费列支公务用车运行维护费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本年度未用财政拨款经费列支公务用车运行维护费。</w:t>
      </w:r>
    </w:p>
    <w:p w14:paraId="090ABA7B">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截至</w:t>
      </w: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w:t>
      </w:r>
      <w:r>
        <w:rPr>
          <w:rFonts w:ascii="Times New Roman" w:hAnsi="Times New Roman" w:eastAsia="仿宋_GB2312" w:cs="仿宋_GB2312"/>
          <w:kern w:val="0"/>
          <w:sz w:val="30"/>
          <w:szCs w:val="30"/>
        </w:rPr>
        <w:t>12</w:t>
      </w:r>
      <w:r>
        <w:rPr>
          <w:rFonts w:hint="eastAsia" w:ascii="Times New Roman" w:hAnsi="Times New Roman" w:eastAsia="仿宋_GB2312" w:cs="仿宋_GB2312"/>
          <w:kern w:val="0"/>
          <w:sz w:val="30"/>
          <w:szCs w:val="30"/>
        </w:rPr>
        <w:t>月</w:t>
      </w:r>
      <w:r>
        <w:rPr>
          <w:rFonts w:ascii="Times New Roman" w:hAnsi="Times New Roman" w:eastAsia="仿宋_GB2312" w:cs="仿宋_GB2312"/>
          <w:kern w:val="0"/>
          <w:sz w:val="30"/>
          <w:szCs w:val="30"/>
        </w:rPr>
        <w:t>31</w:t>
      </w:r>
      <w:r>
        <w:rPr>
          <w:rFonts w:hint="eastAsia" w:ascii="Times New Roman" w:hAnsi="Times New Roman" w:eastAsia="仿宋_GB2312" w:cs="仿宋_GB2312"/>
          <w:kern w:val="0"/>
          <w:sz w:val="30"/>
          <w:szCs w:val="30"/>
        </w:rPr>
        <w:t>日，使用财政拨款开支运行维护费的公务用车保有量为</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辆。</w:t>
      </w:r>
    </w:p>
    <w:p w14:paraId="750FC52F">
      <w:pPr>
        <w:autoSpaceDE w:val="0"/>
        <w:autoSpaceDN w:val="0"/>
        <w:adjustRightInd w:val="0"/>
        <w:spacing w:line="600" w:lineRule="exact"/>
        <w:ind w:firstLine="600"/>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公务用车购置费预算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元，与预算相比持平；较上年相比持平。决算数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本年度未用财政拨款经费列支公务用车购置费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本年度未用财政拨款经费列支公务用车购置费。</w:t>
      </w:r>
    </w:p>
    <w:p w14:paraId="6EA25713">
      <w:pPr>
        <w:autoSpaceDE w:val="0"/>
        <w:autoSpaceDN w:val="0"/>
        <w:adjustRightInd w:val="0"/>
        <w:spacing w:line="600" w:lineRule="exact"/>
        <w:ind w:firstLine="600"/>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3年购置公务用车</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辆。</w:t>
      </w:r>
    </w:p>
    <w:p w14:paraId="20DB5EB5">
      <w:pPr>
        <w:autoSpaceDE w:val="0"/>
        <w:autoSpaceDN w:val="0"/>
        <w:adjustRightInd w:val="0"/>
        <w:spacing w:line="600" w:lineRule="exact"/>
        <w:ind w:firstLine="645"/>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3.</w:t>
      </w:r>
      <w:r>
        <w:rPr>
          <w:rFonts w:hint="eastAsia" w:ascii="Times New Roman" w:hAnsi="Times New Roman" w:eastAsia="仿宋_GB2312" w:cs="仿宋_GB2312"/>
          <w:kern w:val="0"/>
          <w:sz w:val="30"/>
          <w:szCs w:val="30"/>
        </w:rPr>
        <w:t>公务接待费预算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元，与预算相比持平；较上年相比持平。决算数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本年度未用财政拨款经费列支公务接待费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本年度未用财政拨款经费列支公务接待费。</w:t>
      </w:r>
    </w:p>
    <w:p w14:paraId="0A8B33A1">
      <w:pPr>
        <w:autoSpaceDE w:val="0"/>
        <w:autoSpaceDN w:val="0"/>
        <w:adjustRightInd w:val="0"/>
        <w:spacing w:line="600" w:lineRule="exact"/>
        <w:ind w:firstLine="645"/>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3年本单位国内公务接待</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批次，</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人次；其中，外事接待</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批次，</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w:t>
      </w:r>
    </w:p>
    <w:p w14:paraId="4FADDD5D">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十、机关运行经费支出情况说明</w:t>
      </w:r>
    </w:p>
    <w:p w14:paraId="721CDEA3">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天津市蓟州区邦均镇成人文化技术学校2023年度无机关运行经费。</w:t>
      </w:r>
    </w:p>
    <w:p w14:paraId="6D88433C">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十一、政府采购支出情况说明</w:t>
      </w:r>
    </w:p>
    <w:p w14:paraId="0742317C">
      <w:pPr>
        <w:autoSpaceDE w:val="0"/>
        <w:autoSpaceDN w:val="0"/>
        <w:adjustRightInd w:val="0"/>
        <w:spacing w:line="600" w:lineRule="exact"/>
        <w:ind w:firstLine="600"/>
        <w:jc w:val="left"/>
        <w:rPr>
          <w:rFonts w:ascii="Times New Roman" w:hAnsi="Times New Roman" w:eastAsia="楷体" w:cs="Times New Roman"/>
          <w:kern w:val="0"/>
          <w:sz w:val="30"/>
          <w:szCs w:val="30"/>
          <w:highlight w:val="none"/>
        </w:rPr>
      </w:pPr>
      <w:r>
        <w:rPr>
          <w:rFonts w:hint="eastAsia" w:ascii="Times New Roman" w:hAnsi="Times New Roman" w:eastAsia="仿宋_GB2312" w:cs="仿宋_GB2312"/>
          <w:sz w:val="30"/>
          <w:szCs w:val="30"/>
          <w:highlight w:val="none"/>
          <w:lang w:eastAsia="zh-CN"/>
        </w:rPr>
        <w:t>天津市蓟州区邦均镇成人文化技术学校2023年度无政府采购支出。</w:t>
      </w:r>
    </w:p>
    <w:p w14:paraId="0ABD759A">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十二、</w:t>
      </w:r>
      <w:r>
        <w:rPr>
          <w:rFonts w:hint="eastAsia" w:ascii="Times New Roman" w:hAnsi="Times New Roman" w:eastAsia="黑体" w:cs="黑体"/>
          <w:b/>
          <w:bCs/>
          <w:kern w:val="0"/>
          <w:sz w:val="30"/>
          <w:szCs w:val="30"/>
          <w:highlight w:val="none"/>
        </w:rPr>
        <w:t>国有资产占有使用情况说明</w:t>
      </w:r>
    </w:p>
    <w:p w14:paraId="418B9923">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天津市蓟州区邦均镇成人文化技术学校2023年度无国有资产占有使用情况。</w:t>
      </w:r>
    </w:p>
    <w:p w14:paraId="00375EFF">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十三、</w:t>
      </w:r>
      <w:r>
        <w:rPr>
          <w:rFonts w:hint="eastAsia" w:ascii="Times New Roman" w:hAnsi="Times New Roman" w:eastAsia="黑体" w:cs="黑体"/>
          <w:b/>
          <w:bCs/>
          <w:kern w:val="0"/>
          <w:sz w:val="30"/>
          <w:szCs w:val="30"/>
          <w:highlight w:val="none"/>
        </w:rPr>
        <w:t>预算绩效情况说明</w:t>
      </w:r>
    </w:p>
    <w:p w14:paraId="05823012">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本单位2023年度没有项目支出，无需开展绩效自评。</w:t>
      </w:r>
    </w:p>
    <w:p w14:paraId="2CD9ACF6">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十四、</w:t>
      </w:r>
      <w:r>
        <w:rPr>
          <w:rFonts w:hint="eastAsia" w:ascii="Times New Roman" w:hAnsi="Times New Roman" w:eastAsia="黑体" w:cs="黑体"/>
          <w:b/>
          <w:bCs/>
          <w:kern w:val="0"/>
          <w:sz w:val="30"/>
          <w:szCs w:val="30"/>
          <w:highlight w:val="none"/>
        </w:rPr>
        <w:t>教育、医疗卫生、社会保障和就业、住房保障、涉农补贴等民生支出情况说明</w:t>
      </w:r>
    </w:p>
    <w:p w14:paraId="759C4F57">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2023年度，天津市蓟州区邦均镇成人文化技术学校教育支出504,911.96元、社会保障和就业支出69,508.80元、卫生健康支出28,720.66元。</w:t>
      </w:r>
    </w:p>
    <w:p w14:paraId="15DE9429">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p>
    <w:p w14:paraId="44CFCCF3">
      <w:pPr>
        <w:autoSpaceDE w:val="0"/>
        <w:autoSpaceDN w:val="0"/>
        <w:adjustRightInd w:val="0"/>
        <w:jc w:val="left"/>
        <w:rPr>
          <w:rFonts w:ascii="Times New Roman" w:hAnsi="Times New Roman" w:eastAsia="仿宋_GB2312" w:cs="仿宋_GB2312"/>
          <w:b/>
          <w:bCs/>
          <w:color w:val="000000"/>
          <w:kern w:val="0"/>
          <w:sz w:val="30"/>
          <w:szCs w:val="30"/>
          <w:highlight w:val="none"/>
        </w:rPr>
      </w:pPr>
      <w:r>
        <w:rPr>
          <w:rFonts w:ascii="Times New Roman" w:hAnsi="Times New Roman" w:eastAsia="仿宋_GB2312" w:cs="仿宋_GB2312"/>
          <w:b/>
          <w:bCs/>
          <w:color w:val="000000"/>
          <w:kern w:val="0"/>
          <w:sz w:val="30"/>
          <w:szCs w:val="30"/>
          <w:highlight w:val="none"/>
        </w:rPr>
        <w:br w:type="page"/>
      </w:r>
    </w:p>
    <w:p w14:paraId="6C2CBBF9">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第四部分名词解释</w:t>
      </w:r>
    </w:p>
    <w:p w14:paraId="0AB189D2">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p>
    <w:p w14:paraId="71C4F38F">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val="en-US" w:eastAsia="zh-CN"/>
        </w:rPr>
        <w:t>1</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382FBCC0">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03FD1DD6">
      <w:pPr>
        <w:autoSpaceDE w:val="0"/>
        <w:autoSpaceDN w:val="0"/>
        <w:adjustRightInd w:val="0"/>
        <w:spacing w:line="600" w:lineRule="exact"/>
        <w:ind w:firstLine="600"/>
        <w:jc w:val="left"/>
        <w:rPr>
          <w:rFonts w:ascii="Times New Roman" w:hAnsi="Times New Roman"/>
          <w:highlight w:val="none"/>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微软雅黑"/>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VlZjcyZGYwMmI2MDMyYTMwNTc3YjdmYWUwODdiND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5EE58AE"/>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700453"/>
    <w:rsid w:val="4FA424E7"/>
    <w:rsid w:val="4FBD62FD"/>
    <w:rsid w:val="4FD337AC"/>
    <w:rsid w:val="4FE523CE"/>
    <w:rsid w:val="5236167C"/>
    <w:rsid w:val="52A37398"/>
    <w:rsid w:val="533A0133"/>
    <w:rsid w:val="53C102A5"/>
    <w:rsid w:val="54380029"/>
    <w:rsid w:val="54A61249"/>
    <w:rsid w:val="54F16968"/>
    <w:rsid w:val="55AC416B"/>
    <w:rsid w:val="564C0516"/>
    <w:rsid w:val="5713248B"/>
    <w:rsid w:val="57833AC4"/>
    <w:rsid w:val="578735B4"/>
    <w:rsid w:val="58C3061C"/>
    <w:rsid w:val="58E93DFA"/>
    <w:rsid w:val="599E4BE5"/>
    <w:rsid w:val="5A1C0F73"/>
    <w:rsid w:val="5A964C59"/>
    <w:rsid w:val="5B6D670E"/>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9"/>
    <w:qFormat/>
    <w:uiPriority w:val="99"/>
    <w:pPr>
      <w:autoSpaceDE w:val="0"/>
      <w:autoSpaceDN w:val="0"/>
      <w:adjustRightInd w:val="0"/>
      <w:jc w:val="left"/>
      <w:outlineLvl w:val="0"/>
    </w:pPr>
    <w:rPr>
      <w:rFonts w:ascii="方正小标宋简体" w:eastAsia="方正小标宋简体"/>
      <w:kern w:val="0"/>
      <w:sz w:val="24"/>
      <w:szCs w:val="24"/>
    </w:rPr>
  </w:style>
  <w:style w:type="paragraph" w:styleId="3">
    <w:name w:val="heading 2"/>
    <w:basedOn w:val="1"/>
    <w:next w:val="1"/>
    <w:link w:val="10"/>
    <w:qFormat/>
    <w:uiPriority w:val="99"/>
    <w:pPr>
      <w:autoSpaceDE w:val="0"/>
      <w:autoSpaceDN w:val="0"/>
      <w:adjustRightInd w:val="0"/>
      <w:jc w:val="left"/>
      <w:outlineLvl w:val="1"/>
    </w:pPr>
    <w:rPr>
      <w:rFonts w:ascii="方正小标宋简体" w:eastAsia="方正小标宋简体"/>
      <w:kern w:val="0"/>
      <w:sz w:val="24"/>
      <w:szCs w:val="2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semiHidden/>
    <w:unhideWhenUsed/>
    <w:qFormat/>
    <w:uiPriority w:val="99"/>
    <w:pPr>
      <w:jc w:val="left"/>
    </w:p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tabs>
        <w:tab w:val="center" w:pos="4153"/>
        <w:tab w:val="right" w:pos="8306"/>
      </w:tabs>
      <w:snapToGrid w:val="0"/>
      <w:jc w:val="center"/>
    </w:pPr>
    <w:rPr>
      <w:sz w:val="18"/>
      <w:szCs w:val="18"/>
    </w:rPr>
  </w:style>
  <w:style w:type="character" w:customStyle="1" w:styleId="9">
    <w:name w:val="标题 1 字符"/>
    <w:basedOn w:val="8"/>
    <w:link w:val="2"/>
    <w:qFormat/>
    <w:uiPriority w:val="99"/>
    <w:rPr>
      <w:rFonts w:ascii="方正小标宋简体" w:eastAsia="方正小标宋简体"/>
      <w:kern w:val="0"/>
      <w:sz w:val="24"/>
      <w:szCs w:val="24"/>
    </w:rPr>
  </w:style>
  <w:style w:type="character" w:customStyle="1" w:styleId="10">
    <w:name w:val="标题 2 字符"/>
    <w:basedOn w:val="8"/>
    <w:link w:val="3"/>
    <w:qFormat/>
    <w:uiPriority w:val="99"/>
    <w:rPr>
      <w:rFonts w:ascii="方正小标宋简体" w:eastAsia="方正小标宋简体"/>
      <w:kern w:val="0"/>
      <w:sz w:val="24"/>
      <w:szCs w:val="24"/>
    </w:rPr>
  </w:style>
  <w:style w:type="character" w:customStyle="1" w:styleId="11">
    <w:name w:val="页眉 字符"/>
    <w:basedOn w:val="8"/>
    <w:link w:val="6"/>
    <w:qFormat/>
    <w:uiPriority w:val="99"/>
    <w:rPr>
      <w:sz w:val="18"/>
      <w:szCs w:val="18"/>
    </w:rPr>
  </w:style>
  <w:style w:type="character" w:customStyle="1" w:styleId="12">
    <w:name w:val="页脚 字符"/>
    <w:basedOn w:val="8"/>
    <w:link w:val="5"/>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4126</Words>
  <Characters>4713</Characters>
  <Lines>82</Lines>
  <Paragraphs>23</Paragraphs>
  <TotalTime>5</TotalTime>
  <ScaleCrop>false</ScaleCrop>
  <LinksUpToDate>false</LinksUpToDate>
  <CharactersWithSpaces>4760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2023-08-11T08:11:00Z</dcterms:created>
  <dc:creator>office</dc:creator>
  <cp:lastModifiedBy>王志刚</cp:lastModifiedBy>
  <dcterms:modified xsi:type="dcterms:W3CDTF">2024-08-26T07:41:46Z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A44E0A178634409BBBA50D5636087390_13</vt:lpwstr>
  </property>
</Properties>
</file>