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847892">
      <w:pPr>
        <w:autoSpaceDE w:val="0"/>
        <w:autoSpaceDN w:val="0"/>
        <w:adjustRightInd w:val="0"/>
        <w:jc w:val="center"/>
        <w:rPr>
          <w:rFonts w:ascii="Times New Roman" w:eastAsia="方正小标宋简体" w:hAnsi="Times New Roman" w:cs="方正小标宋简体"/>
          <w:kern w:val="0"/>
          <w:sz w:val="48"/>
          <w:szCs w:val="48"/>
          <w:lang w:val="zh-CN"/>
        </w:rPr>
      </w:pPr>
    </w:p>
    <w:p w:rsidR="00847892" w:rsidRDefault="00E75D0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w:t>
      </w:r>
      <w:proofErr w:type="gramStart"/>
      <w:r>
        <w:rPr>
          <w:rFonts w:ascii="Times New Roman" w:eastAsia="方正小标宋简体" w:hAnsi="Times New Roman" w:cs="方正小标宋简体" w:hint="eastAsia"/>
          <w:kern w:val="0"/>
          <w:sz w:val="48"/>
          <w:szCs w:val="48"/>
          <w:lang w:val="zh-CN"/>
        </w:rPr>
        <w:t>牛各庄中心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47892" w:rsidRDefault="00847892">
      <w:pPr>
        <w:autoSpaceDE w:val="0"/>
        <w:autoSpaceDN w:val="0"/>
        <w:adjustRightInd w:val="0"/>
        <w:spacing w:line="580" w:lineRule="exact"/>
        <w:jc w:val="center"/>
        <w:rPr>
          <w:rFonts w:ascii="Times New Roman" w:eastAsia="黑体" w:hAnsi="Times New Roman" w:cs="黑体"/>
          <w:sz w:val="30"/>
          <w:szCs w:val="30"/>
        </w:rPr>
      </w:pPr>
    </w:p>
    <w:p w:rsidR="00847892" w:rsidRDefault="00847892">
      <w:pPr>
        <w:autoSpaceDE w:val="0"/>
        <w:autoSpaceDN w:val="0"/>
        <w:adjustRightInd w:val="0"/>
        <w:spacing w:line="580" w:lineRule="exact"/>
        <w:jc w:val="center"/>
        <w:rPr>
          <w:rFonts w:ascii="Times New Roman" w:eastAsia="黑体" w:hAnsi="Times New Roman" w:cs="黑体"/>
          <w:sz w:val="30"/>
          <w:szCs w:val="30"/>
        </w:rPr>
      </w:pPr>
    </w:p>
    <w:p w:rsidR="00847892" w:rsidRDefault="00847892">
      <w:pPr>
        <w:autoSpaceDE w:val="0"/>
        <w:autoSpaceDN w:val="0"/>
        <w:adjustRightInd w:val="0"/>
        <w:spacing w:line="580" w:lineRule="exact"/>
        <w:jc w:val="center"/>
        <w:rPr>
          <w:rFonts w:ascii="Times New Roman" w:eastAsia="黑体" w:hAnsi="Times New Roman" w:cs="黑体"/>
          <w:sz w:val="30"/>
          <w:szCs w:val="30"/>
        </w:rPr>
      </w:pPr>
    </w:p>
    <w:p w:rsidR="00847892" w:rsidRDefault="00847892">
      <w:pPr>
        <w:autoSpaceDE w:val="0"/>
        <w:autoSpaceDN w:val="0"/>
        <w:adjustRightInd w:val="0"/>
        <w:spacing w:line="580" w:lineRule="exact"/>
        <w:jc w:val="center"/>
        <w:rPr>
          <w:rFonts w:ascii="Times New Roman" w:eastAsia="黑体" w:hAnsi="Times New Roman" w:cs="黑体"/>
          <w:sz w:val="30"/>
          <w:szCs w:val="30"/>
        </w:rPr>
      </w:pPr>
    </w:p>
    <w:p w:rsidR="00847892" w:rsidRDefault="00847892">
      <w:pPr>
        <w:autoSpaceDE w:val="0"/>
        <w:autoSpaceDN w:val="0"/>
        <w:adjustRightInd w:val="0"/>
        <w:spacing w:line="580" w:lineRule="exact"/>
        <w:jc w:val="center"/>
        <w:rPr>
          <w:rFonts w:ascii="Times New Roman" w:eastAsia="黑体" w:hAnsi="Times New Roman" w:cs="黑体"/>
          <w:sz w:val="30"/>
          <w:szCs w:val="30"/>
        </w:rPr>
      </w:pPr>
    </w:p>
    <w:p w:rsidR="00847892" w:rsidRDefault="00E75D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47892" w:rsidRDefault="00E75D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47892" w:rsidRDefault="00847892">
      <w:pPr>
        <w:autoSpaceDE w:val="0"/>
        <w:autoSpaceDN w:val="0"/>
        <w:adjustRightInd w:val="0"/>
        <w:spacing w:line="600" w:lineRule="exact"/>
        <w:jc w:val="left"/>
        <w:rPr>
          <w:rFonts w:ascii="Times New Roman" w:eastAsia="黑体" w:hAnsi="Times New Roman" w:cs="黑体"/>
          <w:kern w:val="0"/>
          <w:sz w:val="30"/>
          <w:szCs w:val="30"/>
        </w:rPr>
      </w:pPr>
    </w:p>
    <w:p w:rsidR="00847892" w:rsidRDefault="00E75D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47892" w:rsidRDefault="00E75D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47892" w:rsidRDefault="00E75D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47892" w:rsidRDefault="00E75D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47892" w:rsidRDefault="00E75D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47892" w:rsidRDefault="00E75D0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47892" w:rsidRDefault="00E75D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47892" w:rsidRDefault="00E75D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小学管理和指导学校的基础教育工作；研究拟订学校的发展规划和年度计划；负责和指导全校师生的思想政治工作。</w:t>
      </w:r>
    </w:p>
    <w:p w:rsidR="00847892" w:rsidRDefault="00E75D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p>
    <w:p w:rsidR="00847892" w:rsidRDefault="00E75D0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47892" w:rsidRDefault="00E75D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47892" w:rsidRDefault="0084789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47892" w:rsidRDefault="00E75D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47892" w:rsidRDefault="00E75D0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47892" w:rsidRDefault="00E75D0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47892" w:rsidRDefault="00847892">
      <w:pPr>
        <w:autoSpaceDE w:val="0"/>
        <w:autoSpaceDN w:val="0"/>
        <w:adjustRightInd w:val="0"/>
        <w:spacing w:line="600" w:lineRule="exact"/>
        <w:ind w:firstLine="601"/>
        <w:jc w:val="left"/>
        <w:rPr>
          <w:rFonts w:ascii="Times New Roman" w:eastAsia="仿宋_GB2312" w:hAnsi="Times New Roman" w:cs="仿宋_GB2312"/>
          <w:sz w:val="30"/>
          <w:szCs w:val="30"/>
        </w:rPr>
      </w:pPr>
    </w:p>
    <w:p w:rsidR="00847892" w:rsidRDefault="00E75D0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47892" w:rsidRDefault="00847892">
      <w:pPr>
        <w:autoSpaceDE w:val="0"/>
        <w:autoSpaceDN w:val="0"/>
        <w:adjustRightInd w:val="0"/>
        <w:spacing w:line="580" w:lineRule="exact"/>
        <w:ind w:firstLine="600"/>
        <w:jc w:val="left"/>
        <w:rPr>
          <w:rFonts w:ascii="Times New Roman" w:eastAsia="黑体" w:hAnsi="Times New Roman" w:cs="黑体"/>
          <w:sz w:val="30"/>
          <w:szCs w:val="30"/>
          <w:lang w:val="zh-CN"/>
        </w:rPr>
      </w:pP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w:t>
      </w:r>
      <w:proofErr w:type="gramStart"/>
      <w:r>
        <w:rPr>
          <w:rFonts w:ascii="Times New Roman" w:eastAsia="仿宋_GB2312" w:hAnsi="Times New Roman" w:cs="仿宋_GB2312" w:hint="eastAsia"/>
          <w:sz w:val="30"/>
          <w:szCs w:val="30"/>
          <w:lang w:val="zh-CN"/>
        </w:rPr>
        <w:t>牛各庄中心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7,657,247.38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23,077.87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名中级教师）。</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7,657,247.38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23,077.87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名中级教师）。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7,516,281.33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140,966.05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1.84%</w:t>
      </w:r>
      <w:r>
        <w:rPr>
          <w:rFonts w:ascii="Times New Roman" w:eastAsia="仿宋_GB2312" w:hAnsi="Times New Roman" w:cs="仿宋_GB2312" w:hint="eastAsia"/>
          <w:sz w:val="30"/>
          <w:szCs w:val="30"/>
          <w:lang w:val="zh-CN"/>
        </w:rPr>
        <w:t>。</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47892" w:rsidRDefault="00E75D0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7,657,247.38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23,077.87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名中级教师）。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7,657,247.38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47892" w:rsidRDefault="00E75D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7,516,281.33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55,112.42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0.73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名中级教师）。</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47892" w:rsidRDefault="00E75D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47892" w:rsidRDefault="00E75D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7,516,281.33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55,112.42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名中级教</w:t>
      </w:r>
      <w:r>
        <w:rPr>
          <w:rFonts w:ascii="Times New Roman" w:eastAsia="仿宋_GB2312" w:hAnsi="Times New Roman" w:cs="仿宋_GB2312" w:hint="eastAsia"/>
          <w:sz w:val="30"/>
          <w:szCs w:val="30"/>
        </w:rPr>
        <w:lastRenderedPageBreak/>
        <w:t>师）。</w:t>
      </w:r>
    </w:p>
    <w:p w:rsidR="00847892" w:rsidRDefault="00E75D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47892" w:rsidRDefault="00E75D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7,516,281.33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6364780.31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84.68%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814956.48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336544.54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4.48%</w:t>
      </w:r>
      <w:r>
        <w:rPr>
          <w:rFonts w:ascii="Times New Roman" w:eastAsia="仿宋_GB2312" w:hAnsi="Times New Roman" w:cs="仿宋_GB2312" w:hint="eastAsia"/>
          <w:sz w:val="30"/>
          <w:szCs w:val="30"/>
        </w:rPr>
        <w:t>。</w:t>
      </w:r>
    </w:p>
    <w:p w:rsidR="00847892" w:rsidRDefault="00E75D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47892" w:rsidRDefault="00E75D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7,507,162.88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7,516,281.33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100.12%</w:t>
      </w:r>
      <w:r>
        <w:rPr>
          <w:rFonts w:ascii="Times New Roman" w:eastAsia="仿宋_GB2312" w:hAnsi="Times New Roman" w:cs="仿宋_GB2312" w:hint="eastAsia"/>
          <w:kern w:val="0"/>
          <w:sz w:val="30"/>
          <w:szCs w:val="30"/>
        </w:rPr>
        <w:t>。其中：</w:t>
      </w:r>
    </w:p>
    <w:p w:rsidR="00847892" w:rsidRDefault="00E75D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6346174.4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6505746.36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102.51%</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6346174.4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6505746.36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102.51%</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6346174.4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6505746.36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102.51%</w:t>
      </w:r>
      <w:r>
        <w:rPr>
          <w:rFonts w:ascii="Times New Roman" w:eastAsia="仿宋_GB2312" w:hAnsi="Times New Roman" w:cs="仿宋_GB2312" w:hint="eastAsia"/>
          <w:sz w:val="30"/>
          <w:szCs w:val="30"/>
        </w:rPr>
        <w:t>，决</w:t>
      </w:r>
      <w:r>
        <w:rPr>
          <w:rFonts w:ascii="Times New Roman" w:eastAsia="仿宋_GB2312" w:hAnsi="Times New Roman" w:cs="仿宋_GB2312" w:hint="eastAsia"/>
          <w:sz w:val="30"/>
          <w:szCs w:val="30"/>
        </w:rPr>
        <w:t>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819521.28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814956.48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99.44%</w:t>
      </w:r>
      <w:r>
        <w:rPr>
          <w:rFonts w:ascii="Times New Roman" w:eastAsia="仿宋_GB2312" w:hAnsi="Times New Roman" w:cs="仿宋_GB2312" w:hint="eastAsia"/>
          <w:sz w:val="30"/>
          <w:szCs w:val="30"/>
        </w:rPr>
        <w:t>，决算数小于年初预算</w:t>
      </w:r>
      <w:r>
        <w:rPr>
          <w:rFonts w:ascii="Times New Roman" w:eastAsia="仿宋_GB2312" w:hAnsi="Times New Roman" w:cs="仿宋_GB2312" w:hint="eastAsia"/>
          <w:sz w:val="30"/>
          <w:szCs w:val="30"/>
        </w:rPr>
        <w:lastRenderedPageBreak/>
        <w:t>数的主要原因是在职人员减少缴费减少。其中：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546347.52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543304.32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99.44%</w:t>
      </w:r>
      <w:r>
        <w:rPr>
          <w:rFonts w:ascii="Times New Roman" w:eastAsia="仿宋_GB2312" w:hAnsi="Times New Roman" w:cs="仿宋_GB2312" w:hint="eastAsia"/>
          <w:sz w:val="30"/>
          <w:szCs w:val="30"/>
        </w:rPr>
        <w:t>，决算数小于年初预算数的主要原因是在职人员减少缴费减少。包括：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546347.5</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543304.32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99.44%</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273173.76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271652.16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99.44%</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341467.2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336544.54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98.56%</w:t>
      </w:r>
      <w:r>
        <w:rPr>
          <w:rFonts w:ascii="Times New Roman" w:eastAsia="仿宋_GB2312" w:hAnsi="Times New Roman" w:cs="仿宋_GB2312" w:hint="eastAsia"/>
          <w:sz w:val="30"/>
          <w:szCs w:val="30"/>
        </w:rPr>
        <w:t>，决算数小于年初预算数的主要原因是在职人员减少缴费减少</w:t>
      </w:r>
      <w:proofErr w:type="gramStart"/>
      <w:r>
        <w:rPr>
          <w:rFonts w:ascii="Times New Roman" w:eastAsia="仿宋_GB2312" w:hAnsi="Times New Roman" w:cs="仿宋_GB2312" w:hint="eastAsia"/>
          <w:sz w:val="30"/>
          <w:szCs w:val="30"/>
        </w:rPr>
        <w:t>减少</w:t>
      </w:r>
      <w:proofErr w:type="gramEnd"/>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w:t>
      </w:r>
      <w:r>
        <w:rPr>
          <w:rFonts w:ascii="Times New Roman" w:eastAsia="仿宋_GB2312" w:hAnsi="Times New Roman" w:cs="仿宋_GB2312" w:hint="eastAsia"/>
          <w:sz w:val="30"/>
          <w:szCs w:val="30"/>
        </w:rPr>
        <w:t>初预算数</w:t>
      </w:r>
      <w:r>
        <w:rPr>
          <w:rFonts w:ascii="Times New Roman" w:eastAsia="仿宋_GB2312" w:hAnsi="Times New Roman" w:cs="仿宋_GB2312" w:hint="eastAsia"/>
          <w:sz w:val="30"/>
          <w:szCs w:val="30"/>
        </w:rPr>
        <w:t>341467.2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336544.54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98.56%</w:t>
      </w:r>
      <w:r>
        <w:rPr>
          <w:rFonts w:ascii="Times New Roman" w:eastAsia="仿宋_GB2312" w:hAnsi="Times New Roman" w:cs="仿宋_GB2312" w:hint="eastAsia"/>
          <w:sz w:val="30"/>
          <w:szCs w:val="30"/>
        </w:rPr>
        <w:t>，决算数小于年初预算数的主要原因是在职人员减少缴费减少。包括：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341467.2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336544.54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98.56%%</w:t>
      </w:r>
      <w:r>
        <w:rPr>
          <w:rFonts w:ascii="Times New Roman" w:eastAsia="仿宋_GB2312" w:hAnsi="Times New Roman" w:cs="仿宋_GB2312" w:hint="eastAsia"/>
          <w:sz w:val="30"/>
          <w:szCs w:val="30"/>
        </w:rPr>
        <w:t>，决算数小于年初预算数的主要原因是在职人员减少缴费减少。</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47892" w:rsidRDefault="00E75D0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Times New Roman" w:hint="eastAsia"/>
          <w:sz w:val="30"/>
          <w:szCs w:val="30"/>
        </w:rPr>
        <w:t>7,516,281.33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55,112.</w:t>
      </w:r>
      <w:r>
        <w:rPr>
          <w:rFonts w:ascii="Times New Roman" w:eastAsia="仿宋_GB2312" w:hAnsi="Times New Roman" w:cs="仿宋_GB2312" w:hint="eastAsia"/>
          <w:sz w:val="30"/>
          <w:szCs w:val="30"/>
        </w:rPr>
        <w:t>42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名中级教师）。</w:t>
      </w:r>
      <w:r>
        <w:rPr>
          <w:rFonts w:ascii="Times New Roman" w:eastAsia="仿宋_GB2312" w:hAnsi="Times New Roman" w:cs="仿宋_GB2312" w:hint="eastAsia"/>
          <w:kern w:val="0"/>
          <w:sz w:val="30"/>
          <w:szCs w:val="30"/>
        </w:rPr>
        <w:t>其中：</w:t>
      </w:r>
    </w:p>
    <w:p w:rsidR="00847892" w:rsidRDefault="00E75D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6,912,578.23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847892" w:rsidRDefault="00E75D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603,703.10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47892" w:rsidRDefault="00E75D0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w:t>
      </w:r>
      <w:proofErr w:type="gramStart"/>
      <w:r>
        <w:rPr>
          <w:rFonts w:ascii="Times New Roman" w:eastAsia="仿宋_GB2312" w:hAnsi="Times New Roman" w:cs="仿宋_GB2312" w:hint="eastAsia"/>
          <w:sz w:val="30"/>
          <w:szCs w:val="30"/>
        </w:rPr>
        <w:t>桥牛各庄中心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75D08" w:rsidRDefault="00E75D08" w:rsidP="00E75D0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75D08" w:rsidRDefault="00E75D08" w:rsidP="00E75D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75D08" w:rsidRDefault="00E75D08" w:rsidP="00E75D0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75D08" w:rsidRDefault="00E75D08" w:rsidP="00E75D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75D08" w:rsidRDefault="00E75D08" w:rsidP="00E75D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75D08" w:rsidRDefault="00E75D08" w:rsidP="00E75D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75D08" w:rsidRDefault="00E75D08" w:rsidP="00E75D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75D08" w:rsidRDefault="00E75D08" w:rsidP="00E75D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5D08" w:rsidRDefault="00E75D08" w:rsidP="00E75D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E75D08" w:rsidRDefault="00E75D08" w:rsidP="00E75D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5D08" w:rsidRDefault="00E75D08" w:rsidP="00E75D0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47892" w:rsidRDefault="00E75D08" w:rsidP="00E75D0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47892" w:rsidRDefault="00E75D0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天津市蓟州区马伸桥镇牛各庄中心小学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847892" w:rsidRDefault="00E75D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847892" w:rsidRDefault="00E75D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proofErr w:type="gramStart"/>
      <w:r>
        <w:rPr>
          <w:rFonts w:ascii="Times New Roman" w:eastAsia="仿宋_GB2312" w:hAnsi="Times New Roman" w:cs="仿宋_GB2312" w:hint="eastAsia"/>
          <w:sz w:val="30"/>
          <w:szCs w:val="30"/>
        </w:rPr>
        <w:t>牛各庄中心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6505746.36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814956.48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336544.54</w:t>
      </w:r>
      <w:r>
        <w:rPr>
          <w:rFonts w:ascii="Times New Roman" w:eastAsia="仿宋_GB2312" w:hAnsi="Times New Roman" w:cs="仿宋_GB2312" w:hint="eastAsia"/>
          <w:sz w:val="30"/>
          <w:szCs w:val="30"/>
        </w:rPr>
        <w:t>元。</w:t>
      </w:r>
    </w:p>
    <w:p w:rsidR="00847892" w:rsidRDefault="0084789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47892" w:rsidRDefault="00E75D0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47892" w:rsidRDefault="00E75D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47892" w:rsidRDefault="0084789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47892" w:rsidRDefault="00E75D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47892" w:rsidRDefault="00E75D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47892" w:rsidRDefault="00E75D0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4789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47892"/>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5D08"/>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798</Words>
  <Characters>4549</Characters>
  <Application>Microsoft Office Word</Application>
  <DocSecurity>0</DocSecurity>
  <Lines>37</Lines>
  <Paragraphs>10</Paragraphs>
  <ScaleCrop>false</ScaleCrop>
  <Company>HP Inc.</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