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天津市蓟州区下仓镇中心小学2023年度部门决算</w:t>
      </w: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pPr>
        <w:autoSpaceDE w:val="0"/>
        <w:autoSpaceDN w:val="0"/>
        <w:adjustRightInd w:val="0"/>
        <w:spacing w:line="600" w:lineRule="exact"/>
        <w:jc w:val="left"/>
        <w:rPr>
          <w:rFonts w:ascii="Times New Roman" w:hAnsi="Times New Roman" w:eastAsia="黑体" w:cs="黑体"/>
          <w:kern w:val="0"/>
          <w:sz w:val="30"/>
          <w:szCs w:val="30"/>
          <w:highlight w:val="none"/>
        </w:rPr>
      </w:pP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天津市蓟州区下仓镇中心小学全面负责本单位教育事业的发展规划和各项计划，管理和指导教育工作，促使基础教育发展，进行小学学历教育。</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天津市蓟州区下仓镇中心小学内设3个职能科室。；下辖0个预算单位。纳入天津市蓟州区下仓镇中心小学2023年度部门决算编制范围的单位包括：</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天津市蓟州区下仓镇中心小学</w:t>
      </w:r>
    </w:p>
    <w:p>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pPr>
        <w:autoSpaceDE w:val="0"/>
        <w:autoSpaceDN w:val="0"/>
        <w:adjustRightInd w:val="0"/>
        <w:spacing w:line="800" w:lineRule="exact"/>
        <w:jc w:val="left"/>
        <w:rPr>
          <w:rFonts w:ascii="Times New Roman" w:hAnsi="Times New Roman" w:eastAsia="楷体" w:cs="楷体"/>
          <w:kern w:val="0"/>
          <w:sz w:val="30"/>
          <w:szCs w:val="30"/>
          <w:highlight w:val="none"/>
        </w:rPr>
      </w:pPr>
    </w:p>
    <w:p>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color w:val="000000" w:themeColor="text1"/>
          <w:sz w:val="30"/>
          <w:szCs w:val="30"/>
          <w:highlight w:val="none"/>
          <w:lang w:eastAsia="zh-CN"/>
          <w14:textFill>
            <w14:solidFill>
              <w14:schemeClr w14:val="tx1"/>
            </w14:solidFill>
          </w14:textFill>
        </w:rPr>
      </w:pPr>
      <w:r>
        <w:rPr>
          <w:rFonts w:hint="eastAsia" w:ascii="Times New Roman" w:hAnsi="Times New Roman" w:eastAsia="仿宋_GB2312" w:cs="仿宋_GB2312"/>
          <w:color w:val="000000" w:themeColor="text1"/>
          <w:sz w:val="30"/>
          <w:szCs w:val="30"/>
          <w:highlight w:val="none"/>
          <w:lang w:eastAsia="zh-CN"/>
          <w14:textFill>
            <w14:solidFill>
              <w14:schemeClr w14:val="tx1"/>
            </w14:solidFill>
          </w14:textFill>
        </w:rPr>
        <w:t>天津市蓟州区下仓镇中心小学2023年度政府性基金预算财政拨款收入支出决算表为空表。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color w:val="000000" w:themeColor="text1"/>
          <w:sz w:val="30"/>
          <w:szCs w:val="30"/>
          <w:highlight w:val="none"/>
          <w:lang w:eastAsia="zh-CN"/>
          <w14:textFill>
            <w14:solidFill>
              <w14:schemeClr w14:val="tx1"/>
            </w14:solidFill>
          </w14:textFill>
        </w:rPr>
      </w:pPr>
      <w:r>
        <w:rPr>
          <w:rFonts w:hint="eastAsia" w:ascii="Times New Roman" w:hAnsi="Times New Roman" w:eastAsia="仿宋_GB2312" w:cs="仿宋_GB2312"/>
          <w:color w:val="000000" w:themeColor="text1"/>
          <w:sz w:val="30"/>
          <w:szCs w:val="30"/>
          <w:highlight w:val="none"/>
          <w:lang w:eastAsia="zh-CN"/>
          <w14:textFill>
            <w14:solidFill>
              <w14:schemeClr w14:val="tx1"/>
            </w14:solidFill>
          </w14:textFill>
        </w:rPr>
        <w:t>天津市蓟州区下仓镇中心小学2023年度国有资本经</w:t>
      </w:r>
      <w:bookmarkStart w:id="0" w:name="_GoBack"/>
      <w:bookmarkEnd w:id="0"/>
      <w:r>
        <w:rPr>
          <w:rFonts w:hint="eastAsia" w:ascii="Times New Roman" w:hAnsi="Times New Roman" w:eastAsia="仿宋_GB2312" w:cs="仿宋_GB2312"/>
          <w:color w:val="000000" w:themeColor="text1"/>
          <w:sz w:val="30"/>
          <w:szCs w:val="30"/>
          <w:highlight w:val="none"/>
          <w:lang w:eastAsia="zh-CN"/>
          <w14:textFill>
            <w14:solidFill>
              <w14:schemeClr w14:val="tx1"/>
            </w14:solidFill>
          </w14:textFill>
        </w:rPr>
        <w:t>营预算财政拨款收入支出决算表为空表。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color w:val="000000" w:themeColor="text1"/>
          <w:sz w:val="30"/>
          <w:szCs w:val="30"/>
          <w:highlight w:val="none"/>
          <w:lang w:eastAsia="zh-CN"/>
          <w14:textFill>
            <w14:solidFill>
              <w14:schemeClr w14:val="tx1"/>
            </w14:solidFill>
          </w14:textFill>
        </w:rPr>
      </w:pPr>
      <w:r>
        <w:rPr>
          <w:rFonts w:hint="eastAsia" w:ascii="Times New Roman" w:hAnsi="Times New Roman" w:eastAsia="仿宋_GB2312" w:cs="仿宋_GB2312"/>
          <w:color w:val="000000" w:themeColor="text1"/>
          <w:sz w:val="30"/>
          <w:szCs w:val="30"/>
          <w:highlight w:val="none"/>
          <w:lang w:eastAsia="zh-CN"/>
          <w14:textFill>
            <w14:solidFill>
              <w14:schemeClr w14:val="tx1"/>
            </w14:solidFill>
          </w14:textFill>
        </w:rPr>
        <w:t>天津市蓟州区下仓镇中心小学2023年度财政拨款“三公”经费支出决算表为空表。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天津市蓟州区下仓镇中心小学2023年度收入、支出决算总计</w:t>
      </w:r>
      <w:r>
        <w:rPr>
          <w:rFonts w:hint="eastAsia" w:ascii="Times New Roman" w:hAnsi="Times New Roman" w:eastAsia="仿宋_GB2312" w:cs="仿宋_GB2312"/>
          <w:sz w:val="30"/>
          <w:szCs w:val="30"/>
          <w:highlight w:val="none"/>
          <w:lang w:eastAsia="zh-CN"/>
        </w:rPr>
        <w:t>10,317,283.55元，与2022年度相比，收、支总计各减少641,801.60元，下降5.86%，</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：退休人员增加</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天津市蓟州区下仓镇中心小学</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10,317,283.55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减少573,651.60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退休人员增加</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10,136,862.25</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98.25</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180,421.30元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1.75%</w:t>
      </w:r>
      <w:r>
        <w:rPr>
          <w:rFonts w:hint="eastAsia" w:ascii="Times New Roman" w:hAnsi="Times New Roman" w:eastAsia="仿宋_GB2312" w:cs="仿宋_GB2312"/>
          <w:sz w:val="30"/>
          <w:szCs w:val="30"/>
          <w:highlight w:val="none"/>
          <w:lang w:val="zh-CN" w:eastAsia="zh-CN"/>
        </w:rPr>
        <w:t>。</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10,317,283.55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641,801.60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退休人员增加</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10,317,283.55元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天津市蓟州区下仓镇中心小学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10,136,862.25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671,132.40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6.21</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退休人员增加</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天津市蓟州区下仓镇中心小学2023年度部门决算一般公共预算财政拨款支出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计10,136,862.25元，占本年支出合计的98.25%，与2022年度相比，一般公共预算财政拨款支出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671,132.40元，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6.21%，</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：退休人员增加</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10,136,862.25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教育类支出8618500.93元，占85%，社会保障和就业支出1074456.72元，占11%，卫生健康支出443904.6元，占4%。</w:t>
      </w:r>
    </w:p>
    <w:p>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pPr>
        <w:autoSpaceDE w:val="0"/>
        <w:autoSpaceDN w:val="0"/>
        <w:adjustRightInd w:val="0"/>
        <w:spacing w:line="600" w:lineRule="exact"/>
        <w:ind w:firstLine="600"/>
        <w:jc w:val="left"/>
        <w:rPr>
          <w:rFonts w:ascii="Times New Roman" w:hAnsi="Times New Roman" w:eastAsia="仿宋_GB2312" w:cs="仿宋_GB2312"/>
          <w:color w:val="000000" w:themeColor="text1"/>
          <w:kern w:val="0"/>
          <w:sz w:val="30"/>
          <w:szCs w:val="30"/>
          <w:highlight w:val="none"/>
          <w14:textFill>
            <w14:solidFill>
              <w14:schemeClr w14:val="tx1"/>
            </w14:solidFill>
          </w14:textFill>
        </w:rPr>
      </w:pPr>
      <w:r>
        <w:rPr>
          <w:rFonts w:hint="eastAsia" w:ascii="Times New Roman" w:hAnsi="Times New Roman" w:eastAsia="仿宋_GB2312" w:cs="仿宋_GB2312"/>
          <w:color w:val="000000" w:themeColor="text1"/>
          <w:kern w:val="0"/>
          <w:sz w:val="30"/>
          <w:szCs w:val="30"/>
          <w:highlight w:val="none"/>
          <w:lang w:eastAsia="zh-CN"/>
          <w14:textFill>
            <w14:solidFill>
              <w14:schemeClr w14:val="tx1"/>
            </w14:solidFill>
          </w14:textFill>
        </w:rPr>
        <w:t>2023</w:t>
      </w:r>
      <w:r>
        <w:rPr>
          <w:rFonts w:hint="eastAsia" w:ascii="Times New Roman" w:hAnsi="Times New Roman" w:eastAsia="仿宋_GB2312" w:cs="仿宋_GB2312"/>
          <w:color w:val="000000" w:themeColor="text1"/>
          <w:kern w:val="0"/>
          <w:sz w:val="30"/>
          <w:szCs w:val="30"/>
          <w:highlight w:val="none"/>
          <w14:textFill>
            <w14:solidFill>
              <w14:schemeClr w14:val="tx1"/>
            </w14:solidFill>
          </w14:textFill>
        </w:rPr>
        <w:t>年度一般公共预算财政拨款支出年初预算为</w:t>
      </w:r>
      <w:r>
        <w:rPr>
          <w:rFonts w:hint="eastAsia" w:ascii="Times New Roman" w:hAnsi="Times New Roman" w:eastAsia="仿宋_GB2312" w:cs="Times New Roman"/>
          <w:color w:val="000000" w:themeColor="text1"/>
          <w:sz w:val="30"/>
          <w:szCs w:val="30"/>
          <w:highlight w:val="none"/>
          <w:lang w:eastAsia="zh-CN"/>
          <w14:textFill>
            <w14:solidFill>
              <w14:schemeClr w14:val="tx1"/>
            </w14:solidFill>
          </w14:textFill>
        </w:rPr>
        <w:t>10,221,766.52</w:t>
      </w:r>
      <w:r>
        <w:rPr>
          <w:rFonts w:hint="eastAsia" w:ascii="Times New Roman" w:hAnsi="Times New Roman" w:eastAsia="仿宋_GB2312" w:cs="仿宋_GB2312"/>
          <w:color w:val="000000" w:themeColor="text1"/>
          <w:kern w:val="0"/>
          <w:sz w:val="30"/>
          <w:szCs w:val="30"/>
          <w:highlight w:val="none"/>
          <w14:textFill>
            <w14:solidFill>
              <w14:schemeClr w14:val="tx1"/>
            </w14:solidFill>
          </w14:textFill>
        </w:rPr>
        <w:t>元，支出决算为</w:t>
      </w:r>
      <w:r>
        <w:rPr>
          <w:rFonts w:hint="eastAsia" w:ascii="Times New Roman" w:hAnsi="Times New Roman" w:eastAsia="仿宋_GB2312" w:cs="Times New Roman"/>
          <w:color w:val="000000" w:themeColor="text1"/>
          <w:sz w:val="30"/>
          <w:szCs w:val="30"/>
          <w:highlight w:val="none"/>
          <w:lang w:eastAsia="zh-CN"/>
          <w14:textFill>
            <w14:solidFill>
              <w14:schemeClr w14:val="tx1"/>
            </w14:solidFill>
          </w14:textFill>
        </w:rPr>
        <w:t>10,136,862.25</w:t>
      </w:r>
      <w:r>
        <w:rPr>
          <w:rFonts w:hint="eastAsia" w:ascii="Times New Roman" w:hAnsi="Times New Roman" w:eastAsia="仿宋_GB2312" w:cs="仿宋_GB2312"/>
          <w:color w:val="000000" w:themeColor="text1"/>
          <w:kern w:val="0"/>
          <w:sz w:val="30"/>
          <w:szCs w:val="30"/>
          <w:highlight w:val="none"/>
          <w14:textFill>
            <w14:solidFill>
              <w14:schemeClr w14:val="tx1"/>
            </w14:solidFill>
          </w14:textFill>
        </w:rPr>
        <w:t>元，完成年初预算的</w:t>
      </w:r>
      <w:r>
        <w:rPr>
          <w:rFonts w:hint="eastAsia" w:ascii="Times New Roman" w:hAnsi="Times New Roman" w:eastAsia="仿宋_GB2312" w:cs="Times New Roman"/>
          <w:color w:val="000000" w:themeColor="text1"/>
          <w:sz w:val="30"/>
          <w:szCs w:val="30"/>
          <w:highlight w:val="none"/>
          <w:lang w:eastAsia="zh-CN"/>
          <w14:textFill>
            <w14:solidFill>
              <w14:schemeClr w14:val="tx1"/>
            </w14:solidFill>
          </w14:textFill>
        </w:rPr>
        <w:t>99.17%</w:t>
      </w:r>
      <w:r>
        <w:rPr>
          <w:rFonts w:hint="eastAsia" w:ascii="Times New Roman" w:hAnsi="Times New Roman" w:eastAsia="仿宋_GB2312" w:cs="仿宋_GB2312"/>
          <w:color w:val="000000" w:themeColor="text1"/>
          <w:kern w:val="0"/>
          <w:sz w:val="30"/>
          <w:szCs w:val="30"/>
          <w:highlight w:val="none"/>
          <w14:textFill>
            <w14:solidFill>
              <w14:schemeClr w14:val="tx1"/>
            </w14:solidFill>
          </w14:textFill>
        </w:rPr>
        <w:t>。其中：</w:t>
      </w:r>
    </w:p>
    <w:p>
      <w:pPr>
        <w:autoSpaceDE w:val="0"/>
        <w:autoSpaceDN w:val="0"/>
        <w:adjustRightInd w:val="0"/>
        <w:spacing w:line="600" w:lineRule="exact"/>
        <w:ind w:firstLine="720"/>
        <w:jc w:val="left"/>
        <w:rPr>
          <w:rFonts w:hint="eastAsia" w:ascii="Times New Roman" w:hAnsi="Times New Roman" w:eastAsia="黑体" w:cs="黑体"/>
          <w:b/>
          <w:bCs/>
          <w:color w:val="000000" w:themeColor="text1"/>
          <w:kern w:val="0"/>
          <w:sz w:val="30"/>
          <w:szCs w:val="30"/>
          <w:highlight w:val="none"/>
          <w14:textFill>
            <w14:solidFill>
              <w14:schemeClr w14:val="tx1"/>
            </w14:solidFill>
          </w14:textFill>
        </w:rPr>
      </w:pPr>
      <w:r>
        <w:rPr>
          <w:rFonts w:hint="eastAsia" w:ascii="Times New Roman" w:hAnsi="Times New Roman" w:eastAsia="仿宋_GB2312" w:cs="仿宋_GB2312"/>
          <w:color w:val="000000" w:themeColor="text1"/>
          <w:sz w:val="30"/>
          <w:szCs w:val="30"/>
          <w:highlight w:val="none"/>
          <w:lang w:eastAsia="zh-CN"/>
          <w14:textFill>
            <w14:solidFill>
              <w14:schemeClr w14:val="tx1"/>
            </w14:solidFill>
          </w14:textFill>
        </w:rPr>
        <w:t>2023年初预算为10221766.52元，支出决算为10136862.25元，完成年初预算的99.17%，决算数小于年初预算数的主要原因是退休人员增加。</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天津市蓟州区下仓镇中心小学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10,136,862.25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671,132.40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退休人员增加</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9,373,560.87</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主要包括基本工资1796790.6元，津贴补贴451629元，奖金513450元，绩效工资2401109元，机关事业单位基本养老保险费716304.48元，职业年金缴费358152.24元，职工基本医疗保险缴费443904.6元，其他社会保障缴费53725.71元，住房公积金2204658元，其他工资福利支出148984.54元，退休费233544.7元，生活补贴51308元。</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763,301.38</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主要包括办公费171963.5元，电费16685元，取暖费78500元，物业管理费426737.88元，差旅费10010元，维修（护）费59090元，培训费315元。</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天津市蓟州区下仓镇中心小学2023年度无政府性基金预算财政拨款收入、支出和结转结余。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天津市蓟州区下仓镇中心小学2023年度无国有资本经营预算财政拨款收入、支出和结转结余。</w:t>
      </w:r>
    </w:p>
    <w:p>
      <w:pPr>
        <w:numPr>
          <w:ilvl w:val="0"/>
          <w:numId w:val="1"/>
        </w:numPr>
        <w:autoSpaceDE w:val="0"/>
        <w:autoSpaceDN w:val="0"/>
        <w:adjustRightInd w:val="0"/>
        <w:spacing w:line="600" w:lineRule="exact"/>
        <w:ind w:firstLine="600"/>
        <w:jc w:val="left"/>
        <w:rPr>
          <w:rFonts w:hint="eastAsia" w:ascii="Times New Roman" w:hAnsi="Times New Roman" w:eastAsia="黑体" w:cs="黑体"/>
          <w:b/>
          <w:bCs/>
          <w:color w:val="000000" w:themeColor="text1"/>
          <w:kern w:val="0"/>
          <w:sz w:val="30"/>
          <w:szCs w:val="30"/>
          <w:highlight w:val="none"/>
          <w14:textFill>
            <w14:solidFill>
              <w14:schemeClr w14:val="tx1"/>
            </w14:solidFill>
          </w14:textFill>
        </w:rPr>
      </w:pPr>
      <w:r>
        <w:rPr>
          <w:rFonts w:hint="eastAsia" w:ascii="Times New Roman" w:hAnsi="Times New Roman" w:eastAsia="黑体" w:cs="黑体"/>
          <w:b/>
          <w:bCs/>
          <w:color w:val="000000" w:themeColor="text1"/>
          <w:kern w:val="0"/>
          <w:sz w:val="30"/>
          <w:szCs w:val="30"/>
          <w:highlight w:val="none"/>
          <w14:textFill>
            <w14:solidFill>
              <w14:schemeClr w14:val="tx1"/>
            </w14:solidFill>
          </w14:textFill>
        </w:rPr>
        <w:t>财政拨款</w:t>
      </w:r>
      <w:r>
        <w:rPr>
          <w:rFonts w:ascii="Times New Roman" w:hAnsi="Times New Roman" w:eastAsia="黑体" w:cs="黑体"/>
          <w:b/>
          <w:bCs/>
          <w:color w:val="000000" w:themeColor="text1"/>
          <w:kern w:val="0"/>
          <w:sz w:val="30"/>
          <w:szCs w:val="30"/>
          <w:highlight w:val="none"/>
          <w14:textFill>
            <w14:solidFill>
              <w14:schemeClr w14:val="tx1"/>
            </w14:solidFill>
          </w14:textFill>
        </w:rPr>
        <w:t>“</w:t>
      </w:r>
      <w:r>
        <w:rPr>
          <w:rFonts w:hint="eastAsia" w:ascii="Times New Roman" w:hAnsi="Times New Roman" w:eastAsia="黑体" w:cs="黑体"/>
          <w:b/>
          <w:bCs/>
          <w:color w:val="000000" w:themeColor="text1"/>
          <w:kern w:val="0"/>
          <w:sz w:val="30"/>
          <w:szCs w:val="30"/>
          <w:highlight w:val="none"/>
          <w14:textFill>
            <w14:solidFill>
              <w14:schemeClr w14:val="tx1"/>
            </w14:solidFill>
          </w14:textFill>
        </w:rPr>
        <w:t>三公</w:t>
      </w:r>
      <w:r>
        <w:rPr>
          <w:rFonts w:ascii="Times New Roman" w:hAnsi="Times New Roman" w:eastAsia="黑体" w:cs="黑体"/>
          <w:b/>
          <w:bCs/>
          <w:color w:val="000000" w:themeColor="text1"/>
          <w:kern w:val="0"/>
          <w:sz w:val="30"/>
          <w:szCs w:val="30"/>
          <w:highlight w:val="none"/>
          <w14:textFill>
            <w14:solidFill>
              <w14:schemeClr w14:val="tx1"/>
            </w14:solidFill>
          </w14:textFill>
        </w:rPr>
        <w:t>”</w:t>
      </w:r>
      <w:r>
        <w:rPr>
          <w:rFonts w:hint="eastAsia" w:ascii="Times New Roman" w:hAnsi="Times New Roman" w:eastAsia="黑体" w:cs="黑体"/>
          <w:b/>
          <w:bCs/>
          <w:color w:val="000000" w:themeColor="text1"/>
          <w:kern w:val="0"/>
          <w:sz w:val="30"/>
          <w:szCs w:val="30"/>
          <w:highlight w:val="none"/>
          <w14:textFill>
            <w14:solidFill>
              <w14:schemeClr w14:val="tx1"/>
            </w14:solidFill>
          </w14:textFill>
        </w:rPr>
        <w:t>经费</w:t>
      </w:r>
      <w:r>
        <w:rPr>
          <w:rFonts w:hint="eastAsia" w:ascii="Times New Roman" w:hAnsi="Times New Roman" w:eastAsia="黑体" w:cs="黑体"/>
          <w:b/>
          <w:bCs/>
          <w:color w:val="000000" w:themeColor="text1"/>
          <w:kern w:val="0"/>
          <w:sz w:val="30"/>
          <w:szCs w:val="30"/>
          <w:highlight w:val="none"/>
          <w:lang w:val="zh-CN"/>
          <w14:textFill>
            <w14:solidFill>
              <w14:schemeClr w14:val="tx1"/>
            </w14:solidFill>
          </w14:textFill>
        </w:rPr>
        <w:t>支出决算</w:t>
      </w:r>
      <w:r>
        <w:rPr>
          <w:rFonts w:hint="eastAsia" w:ascii="Times New Roman" w:hAnsi="Times New Roman" w:eastAsia="黑体" w:cs="黑体"/>
          <w:b/>
          <w:bCs/>
          <w:color w:val="000000" w:themeColor="text1"/>
          <w:kern w:val="0"/>
          <w:sz w:val="30"/>
          <w:szCs w:val="30"/>
          <w:highlight w:val="none"/>
          <w14:textFill>
            <w14:solidFill>
              <w14:schemeClr w14:val="tx1"/>
            </w14:solidFill>
          </w14:textFill>
        </w:rPr>
        <w:t>情况</w:t>
      </w:r>
    </w:p>
    <w:p>
      <w:pPr>
        <w:keepNext w:val="0"/>
        <w:keepLines w:val="0"/>
        <w:pageBreakBefore w:val="0"/>
        <w:widowControl w:val="0"/>
        <w:numPr>
          <w:ilvl w:val="0"/>
          <w:numId w:val="2"/>
        </w:numPr>
        <w:kinsoku/>
        <w:wordWrap/>
        <w:overflowPunct/>
        <w:topLinePunct w:val="0"/>
        <w:autoSpaceDE w:val="0"/>
        <w:autoSpaceDN w:val="0"/>
        <w:bidi w:val="0"/>
        <w:adjustRightInd w:val="0"/>
        <w:snapToGrid/>
        <w:spacing w:line="600" w:lineRule="exact"/>
        <w:ind w:firstLine="602" w:firstLineChars="200"/>
        <w:jc w:val="left"/>
        <w:textAlignment w:val="auto"/>
        <w:rPr>
          <w:rFonts w:hint="eastAsia" w:ascii="仿宋_GB2312" w:hAnsi="仿宋_GB2312" w:eastAsia="仿宋_GB2312" w:cs="仿宋_GB2312"/>
          <w:b/>
          <w:bCs/>
          <w:color w:val="000000" w:themeColor="text1"/>
          <w:kern w:val="0"/>
          <w:sz w:val="30"/>
          <w:szCs w:val="30"/>
          <w:highlight w:val="none"/>
          <w14:textFill>
            <w14:solidFill>
              <w14:schemeClr w14:val="tx1"/>
            </w14:solidFill>
          </w14:textFill>
        </w:rPr>
      </w:pPr>
      <w:r>
        <w:rPr>
          <w:rFonts w:hint="eastAsia" w:ascii="Times New Roman" w:hAnsi="Times New Roman" w:eastAsia="楷体" w:cs="楷体"/>
          <w:b/>
          <w:bCs/>
          <w:color w:val="000000" w:themeColor="text1"/>
          <w:kern w:val="0"/>
          <w:sz w:val="30"/>
          <w:szCs w:val="30"/>
          <w:highlight w:val="none"/>
          <w14:textFill>
            <w14:solidFill>
              <w14:schemeClr w14:val="tx1"/>
            </w14:solidFill>
          </w14:textFill>
        </w:rPr>
        <w:t>总体情况</w:t>
      </w:r>
      <w:r>
        <w:rPr>
          <w:rFonts w:hint="eastAsia" w:ascii="Times New Roman" w:hAnsi="Times New Roman" w:eastAsia="楷体" w:cs="楷体"/>
          <w:b/>
          <w:bCs/>
          <w:color w:val="000000" w:themeColor="text1"/>
          <w:kern w:val="0"/>
          <w:sz w:val="30"/>
          <w:szCs w:val="30"/>
          <w:highlight w:val="none"/>
          <w14:textFill>
            <w14:solidFill>
              <w14:schemeClr w14:val="tx1"/>
            </w14:solidFill>
          </w14:textFill>
        </w:rPr>
        <w:tab/>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仿宋_GB2312" w:hAnsi="仿宋_GB2312" w:eastAsia="仿宋_GB2312" w:cs="仿宋_GB2312"/>
          <w:b w:val="0"/>
          <w:bCs w:val="0"/>
          <w:color w:val="000000" w:themeColor="text1"/>
          <w:kern w:val="0"/>
          <w:sz w:val="30"/>
          <w:szCs w:val="30"/>
          <w:highlight w:val="none"/>
          <w14:textFill>
            <w14:solidFill>
              <w14:schemeClr w14:val="tx1"/>
            </w14:solidFill>
          </w14:textFill>
        </w:rPr>
      </w:pPr>
      <w:r>
        <w:rPr>
          <w:rFonts w:hint="eastAsia" w:ascii="仿宋_GB2312" w:hAnsi="仿宋_GB2312" w:eastAsia="仿宋_GB2312" w:cs="仿宋_GB2312"/>
          <w:b w:val="0"/>
          <w:bCs w:val="0"/>
          <w:color w:val="000000" w:themeColor="text1"/>
          <w:kern w:val="0"/>
          <w:sz w:val="30"/>
          <w:szCs w:val="30"/>
          <w:highlight w:val="none"/>
          <w14:textFill>
            <w14:solidFill>
              <w14:schemeClr w14:val="tx1"/>
            </w14:solidFill>
          </w14:textFill>
        </w:rPr>
        <w:t>2023年财政拨款“三公”经费预算0.00元，支出决算0.00元，与2023年预算相比持平；较上年相比持平。决算数等于预算数的主要原因是：本年度未用财政拨款经费列支“三公”经费；决算数较上年持平的主要原因是：本年度未用财政拨款经费列支“三公”经费。</w:t>
      </w:r>
    </w:p>
    <w:p>
      <w:pPr>
        <w:keepNext w:val="0"/>
        <w:keepLines w:val="0"/>
        <w:pageBreakBefore w:val="0"/>
        <w:widowControl w:val="0"/>
        <w:numPr>
          <w:ilvl w:val="0"/>
          <w:numId w:val="2"/>
        </w:numPr>
        <w:kinsoku/>
        <w:wordWrap/>
        <w:overflowPunct/>
        <w:topLinePunct w:val="0"/>
        <w:autoSpaceDE w:val="0"/>
        <w:autoSpaceDN w:val="0"/>
        <w:bidi w:val="0"/>
        <w:adjustRightInd w:val="0"/>
        <w:snapToGrid/>
        <w:spacing w:line="600" w:lineRule="exact"/>
        <w:ind w:left="0" w:leftChars="0" w:firstLine="602" w:firstLineChars="200"/>
        <w:jc w:val="left"/>
        <w:textAlignment w:val="auto"/>
        <w:rPr>
          <w:rFonts w:hint="eastAsia" w:ascii="Times New Roman" w:hAnsi="Times New Roman" w:eastAsia="楷体" w:cs="楷体"/>
          <w:b/>
          <w:bCs/>
          <w:color w:val="000000" w:themeColor="text1"/>
          <w:kern w:val="0"/>
          <w:sz w:val="30"/>
          <w:szCs w:val="30"/>
          <w:highlight w:val="none"/>
          <w14:textFill>
            <w14:solidFill>
              <w14:schemeClr w14:val="tx1"/>
            </w14:solidFill>
          </w14:textFill>
        </w:rPr>
      </w:pPr>
      <w:r>
        <w:rPr>
          <w:rFonts w:hint="eastAsia" w:ascii="Times New Roman" w:hAnsi="Times New Roman" w:eastAsia="楷体" w:cs="楷体"/>
          <w:b/>
          <w:bCs/>
          <w:color w:val="000000" w:themeColor="text1"/>
          <w:kern w:val="0"/>
          <w:sz w:val="30"/>
          <w:szCs w:val="30"/>
          <w:highlight w:val="none"/>
          <w14:textFill>
            <w14:solidFill>
              <w14:schemeClr w14:val="tx1"/>
            </w14:solidFill>
          </w14:textFill>
        </w:rPr>
        <w:t>具体情况</w:t>
      </w:r>
    </w:p>
    <w:p>
      <w:pPr>
        <w:keepNext w:val="0"/>
        <w:keepLines w:val="0"/>
        <w:pageBreakBefore w:val="0"/>
        <w:widowControl w:val="0"/>
        <w:numPr>
          <w:ilvl w:val="0"/>
          <w:numId w:val="3"/>
        </w:numPr>
        <w:kinsoku/>
        <w:wordWrap/>
        <w:overflowPunct/>
        <w:topLinePunct w:val="0"/>
        <w:autoSpaceDE w:val="0"/>
        <w:autoSpaceDN w:val="0"/>
        <w:bidi w:val="0"/>
        <w:adjustRightInd w:val="0"/>
        <w:snapToGrid/>
        <w:spacing w:line="600" w:lineRule="exact"/>
        <w:ind w:left="0" w:leftChars="0" w:firstLine="416" w:firstLineChars="139"/>
        <w:jc w:val="left"/>
        <w:textAlignment w:val="auto"/>
        <w:rPr>
          <w:rFonts w:hint="eastAsia" w:ascii="仿宋_GB2312" w:hAnsi="仿宋_GB2312" w:eastAsia="仿宋_GB2312" w:cs="仿宋_GB2312"/>
          <w:b w:val="0"/>
          <w:bCs w:val="0"/>
          <w:color w:val="000000" w:themeColor="text1"/>
          <w:kern w:val="0"/>
          <w:sz w:val="30"/>
          <w:szCs w:val="30"/>
          <w:highlight w:val="none"/>
          <w14:textFill>
            <w14:solidFill>
              <w14:schemeClr w14:val="tx1"/>
            </w14:solidFill>
          </w14:textFill>
        </w:rPr>
      </w:pPr>
      <w:r>
        <w:rPr>
          <w:rFonts w:hint="eastAsia" w:ascii="仿宋_GB2312" w:hAnsi="仿宋_GB2312" w:eastAsia="仿宋_GB2312" w:cs="仿宋_GB2312"/>
          <w:b w:val="0"/>
          <w:bCs w:val="0"/>
          <w:color w:val="000000" w:themeColor="text1"/>
          <w:kern w:val="0"/>
          <w:sz w:val="30"/>
          <w:szCs w:val="30"/>
          <w:highlight w:val="none"/>
          <w14:textFill>
            <w14:solidFill>
              <w14:schemeClr w14:val="tx1"/>
            </w14:solidFill>
          </w14:textFill>
        </w:rPr>
        <w:t>因公出国（境）费预算0.00元，支出决算0.00元，与预算相比持平；较上年相比持平。决算数等于预算数的主要原因是：本年度未用财政拨款经费列支因公出国（境）费；决算数较上年持平的主要原因是：本年度未用财政拨款经费列支因公出国（境）费。</w:t>
      </w:r>
    </w:p>
    <w:p>
      <w:pPr>
        <w:keepNext w:val="0"/>
        <w:keepLines w:val="0"/>
        <w:pageBreakBefore w:val="0"/>
        <w:widowControl w:val="0"/>
        <w:numPr>
          <w:ilvl w:val="0"/>
          <w:numId w:val="0"/>
        </w:numPr>
        <w:tabs>
          <w:tab w:val="left" w:pos="0"/>
        </w:tabs>
        <w:kinsoku/>
        <w:wordWrap/>
        <w:overflowPunct/>
        <w:topLinePunct w:val="0"/>
        <w:autoSpaceDE w:val="0"/>
        <w:autoSpaceDN w:val="0"/>
        <w:bidi w:val="0"/>
        <w:adjustRightInd w:val="0"/>
        <w:snapToGrid/>
        <w:spacing w:line="600" w:lineRule="exact"/>
        <w:ind w:left="0" w:leftChars="0" w:firstLine="416" w:firstLineChars="139"/>
        <w:jc w:val="left"/>
        <w:textAlignment w:val="auto"/>
        <w:rPr>
          <w:rFonts w:hint="eastAsia" w:ascii="仿宋_GB2312" w:hAnsi="仿宋_GB2312" w:eastAsia="仿宋_GB2312" w:cs="仿宋_GB2312"/>
          <w:b w:val="0"/>
          <w:bCs w:val="0"/>
          <w:color w:val="000000" w:themeColor="text1"/>
          <w:kern w:val="0"/>
          <w:sz w:val="30"/>
          <w:szCs w:val="30"/>
          <w:highlight w:val="none"/>
          <w14:textFill>
            <w14:solidFill>
              <w14:schemeClr w14:val="tx1"/>
            </w14:solidFill>
          </w14:textFill>
        </w:rPr>
      </w:pPr>
      <w:r>
        <w:rPr>
          <w:rFonts w:hint="eastAsia" w:ascii="仿宋_GB2312" w:hAnsi="仿宋_GB2312" w:eastAsia="仿宋_GB2312" w:cs="仿宋_GB2312"/>
          <w:b w:val="0"/>
          <w:bCs w:val="0"/>
          <w:color w:val="000000" w:themeColor="text1"/>
          <w:kern w:val="0"/>
          <w:sz w:val="30"/>
          <w:szCs w:val="30"/>
          <w:highlight w:val="none"/>
          <w14:textFill>
            <w14:solidFill>
              <w14:schemeClr w14:val="tx1"/>
            </w14:solidFill>
          </w14:textFill>
        </w:rPr>
        <w:t>2023年本单位组织的出国团组0个，出国0人次。</w:t>
      </w:r>
    </w:p>
    <w:p>
      <w:pPr>
        <w:keepNext w:val="0"/>
        <w:keepLines w:val="0"/>
        <w:pageBreakBefore w:val="0"/>
        <w:widowControl w:val="0"/>
        <w:numPr>
          <w:ilvl w:val="0"/>
          <w:numId w:val="3"/>
        </w:numPr>
        <w:tabs>
          <w:tab w:val="left" w:pos="0"/>
          <w:tab w:val="clear" w:pos="312"/>
        </w:tabs>
        <w:kinsoku/>
        <w:wordWrap/>
        <w:overflowPunct/>
        <w:topLinePunct w:val="0"/>
        <w:autoSpaceDE w:val="0"/>
        <w:autoSpaceDN w:val="0"/>
        <w:bidi w:val="0"/>
        <w:adjustRightInd w:val="0"/>
        <w:snapToGrid/>
        <w:spacing w:line="600" w:lineRule="exact"/>
        <w:ind w:left="0" w:leftChars="0" w:firstLine="416" w:firstLineChars="139"/>
        <w:jc w:val="left"/>
        <w:textAlignment w:val="auto"/>
        <w:rPr>
          <w:rFonts w:hint="eastAsia" w:ascii="仿宋_GB2312" w:hAnsi="仿宋_GB2312" w:eastAsia="仿宋_GB2312" w:cs="仿宋_GB2312"/>
          <w:b w:val="0"/>
          <w:bCs w:val="0"/>
          <w:color w:val="000000" w:themeColor="text1"/>
          <w:kern w:val="0"/>
          <w:sz w:val="30"/>
          <w:szCs w:val="30"/>
          <w:highlight w:val="none"/>
          <w14:textFill>
            <w14:solidFill>
              <w14:schemeClr w14:val="tx1"/>
            </w14:solidFill>
          </w14:textFill>
        </w:rPr>
      </w:pPr>
      <w:r>
        <w:rPr>
          <w:rFonts w:hint="eastAsia" w:ascii="仿宋_GB2312" w:hAnsi="仿宋_GB2312" w:eastAsia="仿宋_GB2312" w:cs="仿宋_GB2312"/>
          <w:b w:val="0"/>
          <w:bCs w:val="0"/>
          <w:color w:val="000000" w:themeColor="text1"/>
          <w:kern w:val="0"/>
          <w:sz w:val="30"/>
          <w:szCs w:val="30"/>
          <w:highlight w:val="none"/>
          <w14:textFill>
            <w14:solidFill>
              <w14:schemeClr w14:val="tx1"/>
            </w14:solidFill>
          </w14:textFill>
        </w:rPr>
        <w:t>公务用车购置及运行维护费预算0.00元，支出决算0.00元，与预算相比持平；较上年相比持平。决算数等于预算数的主要原因是：本年度未用财政拨款经费列支公务用车购置及运行维护费；决算数较上年持平的主要原因是：本年度未用财政拨款经费列支公务用车购置及运行维护费。其中：</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left="0" w:leftChars="0" w:firstLine="600" w:firstLineChars="200"/>
        <w:jc w:val="left"/>
        <w:textAlignment w:val="auto"/>
        <w:rPr>
          <w:rFonts w:hint="eastAsia" w:ascii="仿宋_GB2312" w:hAnsi="仿宋_GB2312" w:eastAsia="仿宋_GB2312" w:cs="仿宋_GB2312"/>
          <w:b w:val="0"/>
          <w:bCs w:val="0"/>
          <w:color w:val="000000" w:themeColor="text1"/>
          <w:kern w:val="0"/>
          <w:sz w:val="30"/>
          <w:szCs w:val="30"/>
          <w:highlight w:val="none"/>
          <w14:textFill>
            <w14:solidFill>
              <w14:schemeClr w14:val="tx1"/>
            </w14:solidFill>
          </w14:textFill>
        </w:rPr>
      </w:pPr>
      <w:r>
        <w:rPr>
          <w:rFonts w:hint="eastAsia" w:ascii="仿宋_GB2312" w:hAnsi="仿宋_GB2312" w:eastAsia="仿宋_GB2312" w:cs="仿宋_GB2312"/>
          <w:b w:val="0"/>
          <w:bCs w:val="0"/>
          <w:color w:val="000000" w:themeColor="text1"/>
          <w:kern w:val="0"/>
          <w:sz w:val="30"/>
          <w:szCs w:val="30"/>
          <w:highlight w:val="none"/>
          <w14:textFill>
            <w14:solidFill>
              <w14:schemeClr w14:val="tx1"/>
            </w14:solidFill>
          </w14:textFill>
        </w:rPr>
        <w:t>公务用车运行维护费预算0.00元，支出决算0.00元，与预算相比持平；较上年相比持平。决算数等于预算数的主要原因是：本年度未用财政拨款经费列支公务用车运行维护费；决算数较上年持平的主要原因是：本年度未用财政拨款经费列支公务用车运行维护费。</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left="0" w:leftChars="0" w:firstLine="600" w:firstLineChars="200"/>
        <w:jc w:val="left"/>
        <w:textAlignment w:val="auto"/>
        <w:rPr>
          <w:rFonts w:hint="eastAsia" w:ascii="仿宋_GB2312" w:hAnsi="仿宋_GB2312" w:eastAsia="仿宋_GB2312" w:cs="仿宋_GB2312"/>
          <w:b w:val="0"/>
          <w:bCs w:val="0"/>
          <w:color w:val="000000" w:themeColor="text1"/>
          <w:kern w:val="0"/>
          <w:sz w:val="30"/>
          <w:szCs w:val="30"/>
          <w:highlight w:val="none"/>
          <w14:textFill>
            <w14:solidFill>
              <w14:schemeClr w14:val="tx1"/>
            </w14:solidFill>
          </w14:textFill>
        </w:rPr>
      </w:pPr>
      <w:r>
        <w:rPr>
          <w:rFonts w:hint="eastAsia" w:ascii="仿宋_GB2312" w:hAnsi="仿宋_GB2312" w:eastAsia="仿宋_GB2312" w:cs="仿宋_GB2312"/>
          <w:b w:val="0"/>
          <w:bCs w:val="0"/>
          <w:color w:val="000000" w:themeColor="text1"/>
          <w:kern w:val="0"/>
          <w:sz w:val="30"/>
          <w:szCs w:val="30"/>
          <w:highlight w:val="none"/>
          <w14:textFill>
            <w14:solidFill>
              <w14:schemeClr w14:val="tx1"/>
            </w14:solidFill>
          </w14:textFill>
        </w:rPr>
        <w:t>截至2023年12月31日，使用财政拨款开支运行维护费的公务用车保有量为0辆。</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left="0" w:leftChars="0" w:firstLine="600" w:firstLineChars="200"/>
        <w:jc w:val="left"/>
        <w:textAlignment w:val="auto"/>
        <w:rPr>
          <w:rFonts w:hint="eastAsia" w:ascii="仿宋_GB2312" w:hAnsi="仿宋_GB2312" w:eastAsia="仿宋_GB2312" w:cs="仿宋_GB2312"/>
          <w:b w:val="0"/>
          <w:bCs w:val="0"/>
          <w:color w:val="000000" w:themeColor="text1"/>
          <w:kern w:val="0"/>
          <w:sz w:val="30"/>
          <w:szCs w:val="30"/>
          <w:highlight w:val="none"/>
          <w14:textFill>
            <w14:solidFill>
              <w14:schemeClr w14:val="tx1"/>
            </w14:solidFill>
          </w14:textFill>
        </w:rPr>
      </w:pPr>
      <w:r>
        <w:rPr>
          <w:rFonts w:hint="eastAsia" w:ascii="仿宋_GB2312" w:hAnsi="仿宋_GB2312" w:eastAsia="仿宋_GB2312" w:cs="仿宋_GB2312"/>
          <w:b w:val="0"/>
          <w:bCs w:val="0"/>
          <w:color w:val="000000" w:themeColor="text1"/>
          <w:kern w:val="0"/>
          <w:sz w:val="30"/>
          <w:szCs w:val="30"/>
          <w:highlight w:val="none"/>
          <w14:textFill>
            <w14:solidFill>
              <w14:schemeClr w14:val="tx1"/>
            </w14:solidFill>
          </w14:textFill>
        </w:rPr>
        <w:t>公务用车购置费预算0.00元，支出决算0.00元，与预算相比持平；较上年相比持平。决算数等于预算数的主要原因是：本年度未用财政拨款经费列支公务用车购置费；决算数较上年持平的主要原因是：本年度未用财政拨款经费列支公务用车购置费。</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left="0" w:leftChars="0" w:firstLine="639" w:firstLineChars="213"/>
        <w:jc w:val="left"/>
        <w:textAlignment w:val="auto"/>
        <w:rPr>
          <w:rFonts w:hint="eastAsia" w:ascii="仿宋_GB2312" w:hAnsi="仿宋_GB2312" w:eastAsia="仿宋_GB2312" w:cs="仿宋_GB2312"/>
          <w:b w:val="0"/>
          <w:bCs w:val="0"/>
          <w:color w:val="000000" w:themeColor="text1"/>
          <w:kern w:val="0"/>
          <w:sz w:val="30"/>
          <w:szCs w:val="30"/>
          <w:highlight w:val="none"/>
          <w14:textFill>
            <w14:solidFill>
              <w14:schemeClr w14:val="tx1"/>
            </w14:solidFill>
          </w14:textFill>
        </w:rPr>
      </w:pPr>
      <w:r>
        <w:rPr>
          <w:rFonts w:hint="eastAsia" w:ascii="仿宋_GB2312" w:hAnsi="仿宋_GB2312" w:eastAsia="仿宋_GB2312" w:cs="仿宋_GB2312"/>
          <w:b w:val="0"/>
          <w:bCs w:val="0"/>
          <w:color w:val="000000" w:themeColor="text1"/>
          <w:kern w:val="0"/>
          <w:sz w:val="30"/>
          <w:szCs w:val="30"/>
          <w:highlight w:val="none"/>
          <w14:textFill>
            <w14:solidFill>
              <w14:schemeClr w14:val="tx1"/>
            </w14:solidFill>
          </w14:textFill>
        </w:rPr>
        <w:t>2023年购置公务用车0辆。</w:t>
      </w:r>
    </w:p>
    <w:p>
      <w:pPr>
        <w:keepNext w:val="0"/>
        <w:keepLines w:val="0"/>
        <w:pageBreakBefore w:val="0"/>
        <w:widowControl w:val="0"/>
        <w:numPr>
          <w:ilvl w:val="0"/>
          <w:numId w:val="3"/>
        </w:numPr>
        <w:tabs>
          <w:tab w:val="left" w:pos="1060"/>
          <w:tab w:val="clear" w:pos="312"/>
        </w:tabs>
        <w:kinsoku/>
        <w:wordWrap/>
        <w:overflowPunct/>
        <w:topLinePunct w:val="0"/>
        <w:autoSpaceDE w:val="0"/>
        <w:autoSpaceDN w:val="0"/>
        <w:bidi w:val="0"/>
        <w:adjustRightInd w:val="0"/>
        <w:snapToGrid/>
        <w:spacing w:line="600" w:lineRule="exact"/>
        <w:ind w:left="0" w:leftChars="0" w:firstLine="639" w:firstLineChars="213"/>
        <w:jc w:val="left"/>
        <w:textAlignment w:val="auto"/>
        <w:rPr>
          <w:rFonts w:hint="eastAsia" w:ascii="仿宋_GB2312" w:hAnsi="仿宋_GB2312" w:eastAsia="仿宋_GB2312" w:cs="仿宋_GB2312"/>
          <w:b w:val="0"/>
          <w:bCs w:val="0"/>
          <w:color w:val="000000" w:themeColor="text1"/>
          <w:kern w:val="0"/>
          <w:sz w:val="30"/>
          <w:szCs w:val="30"/>
          <w:highlight w:val="none"/>
          <w14:textFill>
            <w14:solidFill>
              <w14:schemeClr w14:val="tx1"/>
            </w14:solidFill>
          </w14:textFill>
        </w:rPr>
      </w:pPr>
      <w:r>
        <w:rPr>
          <w:rFonts w:hint="eastAsia" w:ascii="仿宋_GB2312" w:hAnsi="仿宋_GB2312" w:eastAsia="仿宋_GB2312" w:cs="仿宋_GB2312"/>
          <w:b w:val="0"/>
          <w:bCs w:val="0"/>
          <w:color w:val="000000" w:themeColor="text1"/>
          <w:kern w:val="0"/>
          <w:sz w:val="30"/>
          <w:szCs w:val="30"/>
          <w:highlight w:val="none"/>
          <w14:textFill>
            <w14:solidFill>
              <w14:schemeClr w14:val="tx1"/>
            </w14:solidFill>
          </w14:textFill>
        </w:rPr>
        <w:t>公务接待费预算0.00元，支出决算0.00元，与预算相比持平；较上年相比持平。决算数等于预算数的主要原因是：本年度未用财政拨款经费列支公务接待费；决算数较上年持平的主要原因是：本年度未用财政拨款经费列支公务接待费。</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left="0" w:leftChars="0" w:firstLine="600" w:firstLineChars="200"/>
        <w:jc w:val="left"/>
        <w:textAlignment w:val="auto"/>
        <w:rPr>
          <w:rFonts w:hint="eastAsia" w:ascii="仿宋_GB2312" w:hAnsi="仿宋_GB2312" w:eastAsia="仿宋_GB2312" w:cs="仿宋_GB2312"/>
          <w:b w:val="0"/>
          <w:bCs w:val="0"/>
          <w:color w:val="000000" w:themeColor="text1"/>
          <w:kern w:val="0"/>
          <w:sz w:val="30"/>
          <w:szCs w:val="30"/>
          <w:highlight w:val="none"/>
          <w14:textFill>
            <w14:solidFill>
              <w14:schemeClr w14:val="tx1"/>
            </w14:solidFill>
          </w14:textFill>
        </w:rPr>
      </w:pPr>
      <w:r>
        <w:rPr>
          <w:rFonts w:hint="eastAsia" w:ascii="仿宋_GB2312" w:hAnsi="仿宋_GB2312" w:eastAsia="仿宋_GB2312" w:cs="仿宋_GB2312"/>
          <w:b w:val="0"/>
          <w:bCs w:val="0"/>
          <w:color w:val="000000" w:themeColor="text1"/>
          <w:kern w:val="0"/>
          <w:sz w:val="30"/>
          <w:szCs w:val="30"/>
          <w:highlight w:val="none"/>
          <w14:textFill>
            <w14:solidFill>
              <w14:schemeClr w14:val="tx1"/>
            </w14:solidFill>
          </w14:textFill>
        </w:rPr>
        <w:t>2023年本单位国内公务接待0批次，0人次；其中，外事接待0批次，0人次。</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天津市蓟州区下仓镇中心小学2023年度无机关运行经费支出。</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天津市蓟州区下仓镇中心小学2023年度无政府采购支出。</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天津市蓟州区下仓镇中心小学2023年度无国有资产占有使用支出情况。</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天津市蓟州区下仓镇中心小学2023年度没有项目支出，无需开展部门评价。</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2023年度，天津市蓟州区下仓镇中心小学教育支出8618500.93元，社会保障和就业支出1074456.72元，卫生健康支出443904.6元。</w:t>
      </w:r>
    </w:p>
    <w:p>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02E158"/>
    <w:multiLevelType w:val="singleLevel"/>
    <w:tmpl w:val="8002E158"/>
    <w:lvl w:ilvl="0" w:tentative="0">
      <w:start w:val="1"/>
      <w:numFmt w:val="decimal"/>
      <w:lvlText w:val="%1."/>
      <w:lvlJc w:val="left"/>
      <w:pPr>
        <w:tabs>
          <w:tab w:val="left" w:pos="312"/>
        </w:tabs>
      </w:pPr>
    </w:lvl>
  </w:abstractNum>
  <w:abstractNum w:abstractNumId="1">
    <w:nsid w:val="D0EF3C2D"/>
    <w:multiLevelType w:val="singleLevel"/>
    <w:tmpl w:val="D0EF3C2D"/>
    <w:lvl w:ilvl="0" w:tentative="0">
      <w:start w:val="9"/>
      <w:numFmt w:val="chineseCounting"/>
      <w:suff w:val="nothing"/>
      <w:lvlText w:val="%1、"/>
      <w:lvlJc w:val="left"/>
      <w:rPr>
        <w:rFonts w:hint="eastAsia"/>
      </w:rPr>
    </w:lvl>
  </w:abstractNum>
  <w:abstractNum w:abstractNumId="2">
    <w:nsid w:val="47D7D028"/>
    <w:multiLevelType w:val="singleLevel"/>
    <w:tmpl w:val="47D7D028"/>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1OTAzYTU3Y2I2OTczNzU3MjA2Y2I4Yzk2ZWM3OTA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6C50397"/>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2A728D"/>
    <w:rsid w:val="17BB0A5D"/>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1A4924"/>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15D16"/>
    <w:rsid w:val="4E4E3945"/>
    <w:rsid w:val="4E8C7B5A"/>
    <w:rsid w:val="4F167E2F"/>
    <w:rsid w:val="4F391364"/>
    <w:rsid w:val="4FA424E7"/>
    <w:rsid w:val="4FBD62FD"/>
    <w:rsid w:val="4FD337AC"/>
    <w:rsid w:val="4FE523CE"/>
    <w:rsid w:val="50B3471D"/>
    <w:rsid w:val="51746D5A"/>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30661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3602</Words>
  <Characters>4264</Characters>
  <Lines>82</Lines>
  <Paragraphs>23</Paragraphs>
  <TotalTime>24</TotalTime>
  <ScaleCrop>false</ScaleCrop>
  <LinksUpToDate>false</LinksUpToDate>
  <CharactersWithSpaces>4285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紫曦</cp:lastModifiedBy>
  <dcterms:modified xsi:type="dcterms:W3CDTF">2024-09-01T06:44:22Z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A44E0A178634409BBBA50D5636087390_13</vt:lpwstr>
  </property>
</Properties>
</file>