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C00F03">
      <w:pPr>
        <w:autoSpaceDE w:val="0"/>
        <w:autoSpaceDN w:val="0"/>
        <w:adjustRightInd w:val="0"/>
        <w:jc w:val="center"/>
        <w:rPr>
          <w:rFonts w:ascii="Times New Roman" w:eastAsia="方正小标宋简体" w:hAnsi="Times New Roman" w:cs="方正小标宋简体"/>
          <w:kern w:val="0"/>
          <w:sz w:val="48"/>
          <w:szCs w:val="48"/>
          <w:lang w:val="zh-CN"/>
        </w:rPr>
      </w:pPr>
    </w:p>
    <w:p w:rsidR="00C00F03" w:rsidRDefault="008731B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天津市信息工程学校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00F03" w:rsidRDefault="00C00F03">
      <w:pPr>
        <w:autoSpaceDE w:val="0"/>
        <w:autoSpaceDN w:val="0"/>
        <w:adjustRightInd w:val="0"/>
        <w:spacing w:line="580" w:lineRule="exact"/>
        <w:jc w:val="center"/>
        <w:rPr>
          <w:rFonts w:ascii="Times New Roman" w:eastAsia="黑体" w:hAnsi="Times New Roman" w:cs="黑体"/>
          <w:sz w:val="30"/>
          <w:szCs w:val="30"/>
        </w:rPr>
      </w:pPr>
    </w:p>
    <w:p w:rsidR="00C00F03" w:rsidRDefault="00C00F03">
      <w:pPr>
        <w:autoSpaceDE w:val="0"/>
        <w:autoSpaceDN w:val="0"/>
        <w:adjustRightInd w:val="0"/>
        <w:spacing w:line="580" w:lineRule="exact"/>
        <w:jc w:val="center"/>
        <w:rPr>
          <w:rFonts w:ascii="Times New Roman" w:eastAsia="黑体" w:hAnsi="Times New Roman" w:cs="黑体"/>
          <w:sz w:val="30"/>
          <w:szCs w:val="30"/>
        </w:rPr>
      </w:pPr>
    </w:p>
    <w:p w:rsidR="00C00F03" w:rsidRDefault="00C00F03">
      <w:pPr>
        <w:autoSpaceDE w:val="0"/>
        <w:autoSpaceDN w:val="0"/>
        <w:adjustRightInd w:val="0"/>
        <w:spacing w:line="580" w:lineRule="exact"/>
        <w:jc w:val="center"/>
        <w:rPr>
          <w:rFonts w:ascii="Times New Roman" w:eastAsia="黑体" w:hAnsi="Times New Roman" w:cs="黑体"/>
          <w:sz w:val="30"/>
          <w:szCs w:val="30"/>
        </w:rPr>
      </w:pPr>
    </w:p>
    <w:p w:rsidR="00C00F03" w:rsidRDefault="00C00F03">
      <w:pPr>
        <w:autoSpaceDE w:val="0"/>
        <w:autoSpaceDN w:val="0"/>
        <w:adjustRightInd w:val="0"/>
        <w:spacing w:line="580" w:lineRule="exact"/>
        <w:jc w:val="center"/>
        <w:rPr>
          <w:rFonts w:ascii="Times New Roman" w:eastAsia="黑体" w:hAnsi="Times New Roman" w:cs="黑体"/>
          <w:sz w:val="30"/>
          <w:szCs w:val="30"/>
        </w:rPr>
      </w:pPr>
    </w:p>
    <w:p w:rsidR="00C00F03" w:rsidRDefault="00C00F03">
      <w:pPr>
        <w:autoSpaceDE w:val="0"/>
        <w:autoSpaceDN w:val="0"/>
        <w:adjustRightInd w:val="0"/>
        <w:spacing w:line="580" w:lineRule="exact"/>
        <w:jc w:val="center"/>
        <w:rPr>
          <w:rFonts w:ascii="Times New Roman" w:eastAsia="黑体" w:hAnsi="Times New Roman" w:cs="黑体"/>
          <w:sz w:val="30"/>
          <w:szCs w:val="30"/>
        </w:rPr>
      </w:pPr>
    </w:p>
    <w:p w:rsidR="00C00F03" w:rsidRDefault="008731B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00F03" w:rsidRDefault="008731B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00F03" w:rsidRDefault="00C00F03">
      <w:pPr>
        <w:autoSpaceDE w:val="0"/>
        <w:autoSpaceDN w:val="0"/>
        <w:adjustRightInd w:val="0"/>
        <w:spacing w:line="600" w:lineRule="exact"/>
        <w:jc w:val="left"/>
        <w:rPr>
          <w:rFonts w:ascii="Times New Roman" w:eastAsia="黑体" w:hAnsi="Times New Roman" w:cs="黑体"/>
          <w:kern w:val="0"/>
          <w:sz w:val="30"/>
          <w:szCs w:val="30"/>
        </w:rPr>
      </w:pPr>
    </w:p>
    <w:p w:rsidR="00C00F03" w:rsidRDefault="008731B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00F03" w:rsidRDefault="008731B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00F03" w:rsidRDefault="008731B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00F03" w:rsidRDefault="008731B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00F03" w:rsidRDefault="008731B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00F03" w:rsidRDefault="008731B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00F03" w:rsidRDefault="008731B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00F03" w:rsidRDefault="008731B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00F03" w:rsidRDefault="008731BA">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（一）照《中等职业学校专业教学标准》及市教委有关文件</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，结合自身优势，健全专业，科学、合理地制定校企合作规划。</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（二）根据上级文件，制定实训，实习计划。</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（三）组织学生参加技能大赛、考取技能证书。</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（四）按照《中等职业学校教学管理规范》要求，培养“双师型”教师。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（五）自觉接受社会监督，履职尽责，全力配合上级主管部门完成教学及实训任务。</w:t>
      </w:r>
    </w:p>
    <w:p w:rsidR="00C00F03" w:rsidRDefault="008731B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天津市信息工程学校内设</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p>
    <w:p w:rsidR="00C00F03" w:rsidRDefault="008731B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00F03" w:rsidRDefault="008731B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C00F03" w:rsidRDefault="00C00F0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00F03" w:rsidRDefault="008731B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00F03" w:rsidRDefault="008731B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00F03" w:rsidRDefault="008731BA">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C00F03" w:rsidRDefault="00C00F03">
      <w:pPr>
        <w:autoSpaceDE w:val="0"/>
        <w:autoSpaceDN w:val="0"/>
        <w:adjustRightInd w:val="0"/>
        <w:spacing w:line="600" w:lineRule="exact"/>
        <w:ind w:firstLine="601"/>
        <w:jc w:val="left"/>
        <w:rPr>
          <w:rFonts w:ascii="Times New Roman" w:eastAsia="仿宋_GB2312" w:hAnsi="Times New Roman" w:cs="仿宋_GB2312"/>
          <w:sz w:val="30"/>
          <w:szCs w:val="30"/>
        </w:rPr>
      </w:pPr>
    </w:p>
    <w:p w:rsidR="00C00F03" w:rsidRDefault="008731B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C00F03" w:rsidRDefault="00C00F03">
      <w:pPr>
        <w:autoSpaceDE w:val="0"/>
        <w:autoSpaceDN w:val="0"/>
        <w:adjustRightInd w:val="0"/>
        <w:spacing w:line="580" w:lineRule="exact"/>
        <w:ind w:firstLine="600"/>
        <w:jc w:val="left"/>
        <w:rPr>
          <w:rFonts w:ascii="Times New Roman" w:eastAsia="黑体" w:hAnsi="Times New Roman" w:cs="黑体"/>
          <w:sz w:val="30"/>
          <w:szCs w:val="30"/>
          <w:lang w:val="zh-CN"/>
        </w:rPr>
      </w:pP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天津市信息工程学校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83,384,851.89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14,278,569.86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年退休人员一次性退休补贴减少，抚恤金、丧葬费减少，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年增加补发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年度和</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年度教师考评绩效奖、增薪级工资、保险及公积金等人员经费支出。</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83,384,851.89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14,278,569.86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年退休人员一次性退休补贴减少，抚恤金、丧葬费减少，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年增加补发</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年度和</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年度教师考评绩效奖、增薪级工资、保险及公积金等人</w:t>
      </w:r>
      <w:r>
        <w:rPr>
          <w:rFonts w:ascii="Times New Roman" w:eastAsia="仿宋_GB2312" w:hAnsi="Times New Roman" w:cs="仿宋_GB2312" w:hint="eastAsia"/>
          <w:kern w:val="0"/>
          <w:sz w:val="30"/>
          <w:szCs w:val="30"/>
        </w:rPr>
        <w:lastRenderedPageBreak/>
        <w:t>员经费支出。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80,885,765.21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2,493,549.00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2.99%</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5,537.68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00F03" w:rsidRDefault="008731B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天津市信息工程学校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83,384,851.89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14,278,569.86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年退休人员一次性退休补贴减少，抚恤金、丧葬费减少，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年增加补发</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年度和</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年度教师考评绩效奖、增薪级工资、保险及公积金等人员经费支出。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83,384,851.89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00F03" w:rsidRDefault="008731B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80,885,765.21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14,341,036.55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15.06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年退休人员一次性退休补贴减少，抚恤金、丧葬费减少，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年增加补发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年度和</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年度教师考评绩效奖、增薪级工资、保险及公积金等人员经费支出。</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lastRenderedPageBreak/>
        <w:t>五、一般公共预算财政拨款支出决算情况说明</w:t>
      </w:r>
    </w:p>
    <w:p w:rsidR="00C00F03" w:rsidRDefault="008731B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00F03" w:rsidRDefault="008731B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80,885,765.21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14,341,036.55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15.06%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年退休人员一次性退休补贴减少，抚恤金、丧葬费减少，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年增加补发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年度和</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年度教师考评绩效奖、增薪级工资、保险及公积金等人员经费支出。</w:t>
      </w:r>
    </w:p>
    <w:p w:rsidR="00C00F03" w:rsidRDefault="008731B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00F03" w:rsidRDefault="008731B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80,885,765.21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68,513,617.96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84.70%</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607.92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10.82%</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539.33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4.47%</w:t>
      </w:r>
      <w:r>
        <w:rPr>
          <w:rFonts w:ascii="Times New Roman" w:eastAsia="仿宋_GB2312" w:hAnsi="Times New Roman" w:cs="仿宋_GB2312" w:hint="eastAsia"/>
          <w:sz w:val="30"/>
          <w:szCs w:val="30"/>
        </w:rPr>
        <w:t>。</w:t>
      </w:r>
    </w:p>
    <w:p w:rsidR="00C00F03" w:rsidRDefault="008731B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00F03" w:rsidRDefault="008731B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81,548,566.96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80,885,765.21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99.19%</w:t>
      </w:r>
      <w:r>
        <w:rPr>
          <w:rFonts w:ascii="Times New Roman" w:eastAsia="仿宋_GB2312" w:hAnsi="Times New Roman" w:cs="仿宋_GB2312" w:hint="eastAsia"/>
          <w:kern w:val="0"/>
          <w:sz w:val="30"/>
          <w:szCs w:val="30"/>
        </w:rPr>
        <w:t>。其中：</w:t>
      </w:r>
    </w:p>
    <w:p w:rsidR="00C00F03" w:rsidRDefault="008731B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职业教育支出年初预算为</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622.08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513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617.96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99.73%</w:t>
      </w:r>
      <w:r>
        <w:rPr>
          <w:rFonts w:ascii="Times New Roman" w:eastAsia="仿宋_GB2312" w:hAnsi="Times New Roman" w:cs="仿宋_GB2312" w:hint="eastAsia"/>
          <w:sz w:val="30"/>
          <w:szCs w:val="30"/>
        </w:rPr>
        <w:t>，决算数小于年初预算数的主要原因是教师退休及调出。</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社会保障和就业年初预算为</w:t>
      </w:r>
      <w:r>
        <w:rPr>
          <w:rFonts w:ascii="Times New Roman" w:eastAsia="仿宋_GB2312" w:hAnsi="Times New Roman" w:cs="仿宋_GB2312" w:hint="eastAsia"/>
          <w:sz w:val="30"/>
          <w:szCs w:val="30"/>
        </w:rPr>
        <w:t xml:space="preserve"> 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431.68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96.54%</w:t>
      </w:r>
      <w:r>
        <w:rPr>
          <w:rFonts w:ascii="Times New Roman" w:eastAsia="仿宋_GB2312" w:hAnsi="Times New Roman" w:cs="仿宋_GB2312" w:hint="eastAsia"/>
          <w:sz w:val="30"/>
          <w:szCs w:val="30"/>
        </w:rPr>
        <w:t>，决算数小于年初预算数</w:t>
      </w:r>
      <w:r>
        <w:rPr>
          <w:rFonts w:ascii="Times New Roman" w:eastAsia="仿宋_GB2312" w:hAnsi="Times New Roman" w:cs="仿宋_GB2312" w:hint="eastAsia"/>
          <w:sz w:val="30"/>
          <w:szCs w:val="30"/>
        </w:rPr>
        <w:lastRenderedPageBreak/>
        <w:t>的主要原因是教师退休及调出。</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机关事业单位基本养老保险缴费年初预算为</w:t>
      </w:r>
      <w:r>
        <w:rPr>
          <w:rFonts w:ascii="Times New Roman" w:eastAsia="仿宋_GB2312" w:hAnsi="Times New Roman" w:cs="仿宋_GB2312" w:hint="eastAsia"/>
          <w:sz w:val="30"/>
          <w:szCs w:val="30"/>
        </w:rPr>
        <w:t xml:space="preserve"> 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621.12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405.28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96.54 %</w:t>
      </w:r>
      <w:r>
        <w:rPr>
          <w:rFonts w:ascii="Times New Roman" w:eastAsia="仿宋_GB2312" w:hAnsi="Times New Roman" w:cs="仿宋_GB2312" w:hint="eastAsia"/>
          <w:sz w:val="30"/>
          <w:szCs w:val="30"/>
        </w:rPr>
        <w:t>，决算数小于预算数的主要原因是教师退休及调出。</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机关事业单位职业年金缴费年初预算为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810.56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96.54%</w:t>
      </w:r>
      <w:r>
        <w:rPr>
          <w:rFonts w:ascii="Times New Roman" w:eastAsia="仿宋_GB2312" w:hAnsi="Times New Roman" w:cs="仿宋_GB2312" w:hint="eastAsia"/>
          <w:sz w:val="30"/>
          <w:szCs w:val="30"/>
        </w:rPr>
        <w:t>。决算数小于年初预算数的主要原因是教师退休及调出。</w:t>
      </w:r>
      <w:r>
        <w:rPr>
          <w:rFonts w:ascii="Times New Roman" w:eastAsia="仿宋_GB2312" w:hAnsi="Times New Roman" w:cs="仿宋_GB2312" w:hint="eastAsia"/>
          <w:sz w:val="30"/>
          <w:szCs w:val="30"/>
        </w:rPr>
        <w:t xml:space="preserve"> </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00F03" w:rsidRDefault="008731B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天津市信息工程学校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80,885,765.21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12,023,936.55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年退休人员一次性退休补贴减少，抚恤金、丧葬费减少，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年增加补发</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年度和</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年度教师考评绩效奖、增薪级工资、保险及公积金等人员经费支出。</w:t>
      </w:r>
      <w:r>
        <w:rPr>
          <w:rFonts w:ascii="Times New Roman" w:eastAsia="仿宋_GB2312" w:hAnsi="Times New Roman" w:cs="仿宋_GB2312" w:hint="eastAsia"/>
          <w:kern w:val="0"/>
          <w:sz w:val="30"/>
          <w:szCs w:val="30"/>
        </w:rPr>
        <w:t>其中：</w:t>
      </w:r>
    </w:p>
    <w:p w:rsidR="00C00F03" w:rsidRDefault="008731B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74,243,533.07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74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533.07</w:t>
      </w:r>
      <w:r>
        <w:rPr>
          <w:rFonts w:ascii="Times New Roman" w:eastAsia="仿宋_GB2312" w:hAnsi="Times New Roman" w:cs="仿宋_GB2312" w:hint="eastAsia"/>
          <w:sz w:val="30"/>
          <w:szCs w:val="30"/>
        </w:rPr>
        <w:t>元，主要包括基本工资、津贴补贴、奖金、住房公积金、离休费、退休费等。</w:t>
      </w:r>
    </w:p>
    <w:p w:rsidR="00C00F03" w:rsidRDefault="008731B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6,642,232.14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642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232.14</w:t>
      </w:r>
      <w:r>
        <w:rPr>
          <w:rFonts w:ascii="Times New Roman" w:eastAsia="仿宋_GB2312" w:hAnsi="Times New Roman" w:cs="仿宋_GB2312" w:hint="eastAsia"/>
          <w:sz w:val="30"/>
          <w:szCs w:val="30"/>
        </w:rPr>
        <w:t>元，主要包括办公费、印刷费、会议费、培训费、差旅费等。</w:t>
      </w:r>
    </w:p>
    <w:p w:rsidR="00C00F03" w:rsidRDefault="008731BA">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七、政府性基金预算财政拨款收支决算情况</w:t>
      </w:r>
    </w:p>
    <w:p w:rsidR="00C00F03" w:rsidRDefault="008731B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731BA" w:rsidRDefault="008731BA" w:rsidP="008731B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731BA" w:rsidRDefault="008731BA" w:rsidP="008731B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8731BA" w:rsidRDefault="008731BA" w:rsidP="008731B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731BA" w:rsidRDefault="008731BA" w:rsidP="008731B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8731BA" w:rsidRDefault="008731BA" w:rsidP="008731B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731BA" w:rsidRDefault="008731BA" w:rsidP="008731B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8731BA" w:rsidRDefault="008731BA" w:rsidP="008731B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8731BA" w:rsidRDefault="008731BA" w:rsidP="008731B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731BA" w:rsidRDefault="008731BA" w:rsidP="008731B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8731BA" w:rsidRDefault="008731BA" w:rsidP="008731B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731BA" w:rsidRDefault="008731BA" w:rsidP="008731B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00F03" w:rsidRDefault="008731BA" w:rsidP="008731B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00F03" w:rsidRDefault="008731B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C00F03" w:rsidRDefault="008731B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w:t>
      </w:r>
      <w:r>
        <w:rPr>
          <w:rFonts w:ascii="Times New Roman" w:eastAsia="仿宋_GB2312" w:hAnsi="Times New Roman" w:cs="仿宋_GB2312" w:hint="eastAsia"/>
          <w:color w:val="000000"/>
          <w:kern w:val="0"/>
          <w:sz w:val="30"/>
          <w:szCs w:val="30"/>
        </w:rPr>
        <w:t>天津市信息工程学校</w:t>
      </w:r>
      <w:r>
        <w:rPr>
          <w:rFonts w:ascii="Times New Roman" w:eastAsia="仿宋_GB2312" w:hAnsi="Times New Roman" w:cs="仿宋_GB2312" w:hint="eastAsia"/>
          <w:color w:val="000000"/>
          <w:kern w:val="0"/>
          <w:sz w:val="30"/>
          <w:szCs w:val="30"/>
        </w:rPr>
        <w:t>共有车辆</w:t>
      </w:r>
      <w:r>
        <w:rPr>
          <w:rFonts w:ascii="Times New Roman" w:eastAsia="仿宋_GB2312" w:hAnsi="Times New Roman" w:cs="Times New Roman" w:hint="eastAsia"/>
          <w:kern w:val="0"/>
          <w:sz w:val="30"/>
          <w:szCs w:val="30"/>
        </w:rPr>
        <w:t>10</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小型客车</w:t>
      </w:r>
      <w:bookmarkStart w:id="0" w:name="_GoBack"/>
      <w:bookmarkEnd w:id="0"/>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天津市信息工程学校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C00F03" w:rsidRDefault="008731B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00F03" w:rsidRDefault="008731B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年度，天津市信息工程学校教育支出</w:t>
      </w:r>
      <w:r>
        <w:rPr>
          <w:rFonts w:ascii="Times New Roman" w:eastAsia="仿宋_GB2312" w:hAnsi="Times New Roman" w:cs="仿宋_GB2312" w:hint="eastAsia"/>
          <w:sz w:val="30"/>
          <w:szCs w:val="30"/>
        </w:rPr>
        <w:t>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704.64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607.92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539.33</w:t>
      </w:r>
      <w:r>
        <w:rPr>
          <w:rFonts w:ascii="Times New Roman" w:eastAsia="仿宋_GB2312" w:hAnsi="Times New Roman" w:cs="仿宋_GB2312" w:hint="eastAsia"/>
          <w:sz w:val="30"/>
          <w:szCs w:val="30"/>
        </w:rPr>
        <w:t>元。</w:t>
      </w:r>
    </w:p>
    <w:p w:rsidR="00C00F03" w:rsidRDefault="00C00F0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00F03" w:rsidRDefault="008731B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00F03" w:rsidRDefault="008731B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00F03" w:rsidRDefault="00C00F0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00F03" w:rsidRDefault="008731B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00F03" w:rsidRDefault="008731B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00F03" w:rsidRDefault="008731B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00F0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CEEA1"/>
    <w:multiLevelType w:val="singleLevel"/>
    <w:tmpl w:val="9C4CEEA1"/>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3NGU2MGYyZjFkNmE5ZmViYWMzMGU0MTM2YjdmOT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731BA"/>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00F03"/>
    <w:rsid w:val="00C52E77"/>
    <w:rsid w:val="00C65A44"/>
    <w:rsid w:val="00C76AC3"/>
    <w:rsid w:val="00C83EB4"/>
    <w:rsid w:val="00D4505A"/>
    <w:rsid w:val="00D65B41"/>
    <w:rsid w:val="00DC3234"/>
    <w:rsid w:val="00DC3CD0"/>
    <w:rsid w:val="00DD60B5"/>
    <w:rsid w:val="00E7602B"/>
    <w:rsid w:val="00E964B2"/>
    <w:rsid w:val="00EA6549"/>
    <w:rsid w:val="00F007FE"/>
    <w:rsid w:val="014A74D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0A3077"/>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721D38"/>
    <w:rsid w:val="23736675"/>
    <w:rsid w:val="24B227A0"/>
    <w:rsid w:val="24E72C1F"/>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5D136F"/>
    <w:rsid w:val="5236167C"/>
    <w:rsid w:val="52A37398"/>
    <w:rsid w:val="53C102A5"/>
    <w:rsid w:val="54380029"/>
    <w:rsid w:val="54A61249"/>
    <w:rsid w:val="54F16968"/>
    <w:rsid w:val="55AC416B"/>
    <w:rsid w:val="564C0516"/>
    <w:rsid w:val="5713248B"/>
    <w:rsid w:val="57833AC4"/>
    <w:rsid w:val="578735B4"/>
    <w:rsid w:val="57D8780E"/>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9A7BDC"/>
    <w:rsid w:val="79B7155B"/>
    <w:rsid w:val="79DC07A5"/>
    <w:rsid w:val="7ACA53E2"/>
    <w:rsid w:val="7B143565"/>
    <w:rsid w:val="7E2E7A36"/>
    <w:rsid w:val="7E4A3A20"/>
    <w:rsid w:val="7E703A39"/>
    <w:rsid w:val="7E95595B"/>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776</Words>
  <Characters>4424</Characters>
  <Application>Microsoft Office Word</Application>
  <DocSecurity>0</DocSecurity>
  <Lines>36</Lines>
  <Paragraphs>10</Paragraphs>
  <ScaleCrop>false</ScaleCrop>
  <Company>HP Inc.</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2D26BE37E38A470198EC5B331AABCE47</vt:lpwstr>
  </property>
</Properties>
</file>