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lang w:val="en-US" w:eastAsia="zh-CN"/>
        </w:rPr>
      </w:pPr>
      <w:r>
        <w:rPr>
          <w:rFonts w:hint="eastAsia" w:ascii="仿宋_GB2312" w:hAnsi="仿宋_GB2312" w:eastAsia="仿宋_GB2312" w:cs="仿宋_GB2312"/>
          <w:sz w:val="32"/>
          <w:szCs w:val="32"/>
          <w:highlight w:val="none"/>
          <w:lang w:val="en-US" w:eastAsia="zh-CN"/>
        </w:rPr>
        <w:t>附件2：</w:t>
      </w:r>
    </w:p>
    <w:p>
      <w:pPr>
        <w:ind w:firstLine="880" w:firstLineChars="200"/>
        <w:jc w:val="both"/>
        <w:rPr>
          <w:rFonts w:hint="eastAsia" w:ascii="宋体" w:hAnsi="宋体" w:eastAsia="宋体" w:cs="宋体"/>
          <w:sz w:val="44"/>
          <w:szCs w:val="44"/>
        </w:rPr>
      </w:pPr>
      <w:r>
        <w:rPr>
          <w:rFonts w:hint="eastAsia" w:ascii="宋体" w:hAnsi="宋体" w:eastAsia="宋体" w:cs="宋体"/>
          <w:sz w:val="44"/>
          <w:szCs w:val="44"/>
        </w:rPr>
        <w:t>2022年蓟州区小学、初中寒假转学流行</w:t>
      </w:r>
    </w:p>
    <w:p>
      <w:pPr>
        <w:jc w:val="center"/>
        <w:rPr>
          <w:rFonts w:hint="default" w:ascii="宋体" w:hAnsi="宋体" w:eastAsia="宋体" w:cs="宋体"/>
          <w:sz w:val="44"/>
          <w:szCs w:val="44"/>
          <w:lang w:val="en-US" w:eastAsia="zh-CN"/>
        </w:rPr>
      </w:pPr>
      <w:r>
        <w:rPr>
          <w:rFonts w:hint="eastAsia" w:ascii="宋体" w:hAnsi="宋体" w:eastAsia="宋体" w:cs="宋体"/>
          <w:sz w:val="44"/>
          <w:szCs w:val="44"/>
        </w:rPr>
        <w:t>病学调查表</w:t>
      </w:r>
      <w:r>
        <w:rPr>
          <w:rFonts w:hint="eastAsia" w:ascii="宋体" w:hAnsi="宋体" w:eastAsia="宋体" w:cs="宋体"/>
          <w:sz w:val="44"/>
          <w:szCs w:val="44"/>
          <w:lang w:val="en-US" w:eastAsia="zh-CN"/>
        </w:rPr>
        <w:t>及承诺书</w:t>
      </w:r>
    </w:p>
    <w:tbl>
      <w:tblPr>
        <w:tblStyle w:val="3"/>
        <w:tblpPr w:leftFromText="181" w:rightFromText="181" w:vertAnchor="page" w:horzAnchor="page" w:tblpX="1542" w:tblpY="3955"/>
        <w:tblOverlap w:val="neve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9" w:type="dxa"/>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bottom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1</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rPr>
              <w:t>本人或共同生活的家庭成员有</w:t>
            </w:r>
            <w:r>
              <w:rPr>
                <w:rFonts w:hint="eastAsia" w:ascii="仿宋" w:hAnsi="仿宋" w:eastAsia="仿宋"/>
                <w:sz w:val="24"/>
                <w:szCs w:val="24"/>
                <w:lang w:val="en-US" w:eastAsia="zh-CN"/>
              </w:rPr>
              <w:t>天津</w:t>
            </w:r>
            <w:r>
              <w:rPr>
                <w:rFonts w:hint="eastAsia" w:ascii="仿宋" w:hAnsi="仿宋" w:eastAsia="仿宋"/>
                <w:sz w:val="24"/>
                <w:szCs w:val="24"/>
              </w:rPr>
              <w:t>市防控指挥部确定的重点排查管控地区（以津云最新更新发布信息为准，含陆路口岸城市等）旅居史且未完成相应健康管理的学生家长</w:t>
            </w:r>
            <w:r>
              <w:rPr>
                <w:rFonts w:hint="eastAsia" w:ascii="仿宋" w:hAnsi="仿宋" w:eastAsia="仿宋"/>
                <w:sz w:val="24"/>
                <w:szCs w:val="24"/>
                <w:lang w:val="en-US"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2</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抵津前14日内，有高中风险地区和高中风险区所在县（市、区、旗、直辖市为所在区）旅居史的学生家长；</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3</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抵津前14日内，有1例溯源不清或来源不明的本土新冠病毒感染者的县（市、区、旗、直辖市为所在区）旅居史的学生家长。</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4</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本人或共同生活的家庭成员为尚处于隔离管理或居家医学观察期内的确诊病例、无症状感染者、疑似病例，或被疾控部门判定为密切接触者、次密切接触者的学生家长。</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5</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14天内具有发热、干咳、乏力、咽痛、嗅（味）觉减退、腹泻等症状且未经鉴别诊断排除新冠病毒感染的学生家长，或已排除新冠病毒感染但症状未消失的学生家长。</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6</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本人或</w:t>
            </w:r>
            <w:r>
              <w:rPr>
                <w:rFonts w:hint="eastAsia" w:ascii="仿宋" w:hAnsi="仿宋" w:eastAsia="仿宋"/>
                <w:sz w:val="24"/>
                <w:szCs w:val="24"/>
              </w:rPr>
              <w:t>同住家人在</w:t>
            </w:r>
            <w:r>
              <w:rPr>
                <w:rFonts w:hint="eastAsia" w:ascii="仿宋" w:hAnsi="仿宋" w:eastAsia="仿宋"/>
                <w:sz w:val="24"/>
                <w:szCs w:val="24"/>
                <w:lang w:val="en-US" w:eastAsia="zh-CN"/>
              </w:rPr>
              <w:t>入校</w:t>
            </w:r>
            <w:r>
              <w:rPr>
                <w:rFonts w:hint="eastAsia" w:ascii="仿宋" w:hAnsi="仿宋" w:eastAsia="仿宋"/>
                <w:sz w:val="24"/>
                <w:szCs w:val="24"/>
              </w:rPr>
              <w:t>前21天有从境外或高中风险区返津情况</w:t>
            </w:r>
            <w:r>
              <w:rPr>
                <w:rFonts w:hint="eastAsia" w:ascii="仿宋" w:hAnsi="仿宋" w:eastAsia="仿宋"/>
                <w:sz w:val="24"/>
                <w:szCs w:val="24"/>
                <w:lang w:val="en-US"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7</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8</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9</w:t>
            </w:r>
          </w:p>
        </w:tc>
        <w:tc>
          <w:tcPr>
            <w:tcW w:w="6189" w:type="dxa"/>
            <w:shd w:val="clear" w:color="auto" w:fill="auto"/>
            <w:noWrap/>
            <w:vAlign w:val="center"/>
          </w:tcPr>
          <w:p>
            <w:pPr>
              <w:widowControl/>
              <w:spacing w:line="3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您近期是否从事过生鲜冷链物流和加工工作：</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10</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若近期是否从事过生鲜冷链物流和加工工作，是否按要求进行核酸检测（两周进行一次核酸检测）</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11</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lang w:eastAsia="zh-CN"/>
              </w:rPr>
              <w:t>天津</w:t>
            </w:r>
            <w:r>
              <w:rPr>
                <w:rFonts w:hint="eastAsia" w:ascii="仿宋" w:hAnsi="仿宋" w:eastAsia="仿宋"/>
                <w:sz w:val="24"/>
                <w:szCs w:val="24"/>
              </w:rPr>
              <w:t>健康码是否为橙码或红码：</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631" w:type="dxa"/>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shd w:val="clear" w:color="auto" w:fill="auto"/>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0" w:type="dxa"/>
            <w:vMerge w:val="restart"/>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12</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40" w:type="dxa"/>
            <w:vMerge w:val="restart"/>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13</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
    <w:p>
      <w:pPr>
        <w:keepNext w:val="0"/>
        <w:keepLines w:val="0"/>
        <w:pageBreakBefore w:val="0"/>
        <w:widowControl w:val="0"/>
        <w:kinsoku/>
        <w:wordWrap/>
        <w:overflowPunct/>
        <w:topLinePunct w:val="0"/>
        <w:autoSpaceDE/>
        <w:autoSpaceDN/>
        <w:bidi w:val="0"/>
        <w:adjustRightInd/>
        <w:snapToGrid/>
        <w:spacing w:line="460" w:lineRule="exact"/>
        <w:ind w:firstLine="900" w:firstLineChars="300"/>
        <w:textAlignment w:val="auto"/>
        <w:rPr>
          <w:rFonts w:hint="eastAsia" w:ascii="仿宋" w:hAnsi="仿宋" w:eastAsia="仿宋" w:cs="仿宋"/>
          <w:b w:val="0"/>
          <w:bCs/>
          <w:sz w:val="30"/>
          <w:szCs w:val="30"/>
        </w:rPr>
      </w:pPr>
      <w:r>
        <w:rPr>
          <w:rFonts w:hint="eastAsia" w:ascii="仿宋" w:hAnsi="仿宋" w:eastAsia="仿宋" w:cs="仿宋"/>
          <w:b w:val="0"/>
          <w:bCs/>
          <w:sz w:val="30"/>
          <w:szCs w:val="30"/>
        </w:rPr>
        <w:t>本人承诺：我已知晓《2022年蓟州区小学、初中寒假转学入校提交手续防疫与安全须知》，以上所填内容真实、准确、完整。如隐瞒情况造成危及公共安全后果，本人将承担相应的法律责任，自愿接受《</w:t>
      </w:r>
      <w:r>
        <w:rPr>
          <w:rFonts w:hint="eastAsia" w:ascii="仿宋" w:hAnsi="仿宋" w:eastAsia="仿宋" w:cs="仿宋"/>
          <w:b w:val="0"/>
          <w:bCs/>
          <w:sz w:val="30"/>
          <w:szCs w:val="30"/>
          <w:lang w:eastAsia="zh-CN"/>
        </w:rPr>
        <w:t>中华人民共和国</w:t>
      </w:r>
      <w:r>
        <w:rPr>
          <w:rFonts w:hint="eastAsia" w:ascii="仿宋" w:hAnsi="仿宋" w:eastAsia="仿宋" w:cs="仿宋"/>
          <w:b w:val="0"/>
          <w:bCs/>
          <w:sz w:val="30"/>
          <w:szCs w:val="30"/>
        </w:rPr>
        <w:t>治安管理处罚法》、《传染病防治法》和《关于依法惩治妨害新型冠状病毒感染肺炎疫情防控违法犯罪的意见》等法律法规的处罚和制裁。</w:t>
      </w:r>
    </w:p>
    <w:p>
      <w:pPr>
        <w:pStyle w:val="2"/>
      </w:pPr>
      <w:bookmarkStart w:id="0" w:name="_GoBack"/>
      <w:bookmarkEnd w:id="0"/>
    </w:p>
    <w:p>
      <w:pPr>
        <w:ind w:firstLine="640" w:firstLineChars="200"/>
        <w:rPr>
          <w:rFonts w:hint="default" w:ascii="等线" w:hAnsi="等线" w:eastAsia="等线" w:cs="宋体"/>
          <w:b/>
          <w:bCs/>
          <w:color w:val="000000"/>
          <w:kern w:val="0"/>
          <w:sz w:val="32"/>
          <w:szCs w:val="32"/>
          <w:u w:val="single"/>
          <w:lang w:val="en-US" w:eastAsia="zh-CN"/>
        </w:rPr>
      </w:pPr>
      <w:r>
        <w:rPr>
          <w:rFonts w:hint="eastAsia" w:ascii="等线" w:hAnsi="等线" w:eastAsia="等线" w:cs="宋体"/>
          <w:b/>
          <w:bCs/>
          <w:color w:val="000000"/>
          <w:kern w:val="0"/>
          <w:sz w:val="32"/>
          <w:szCs w:val="32"/>
          <w:u w:val="none"/>
          <w:lang w:eastAsia="zh-CN"/>
        </w:rPr>
        <w:t>家长签字：</w:t>
      </w:r>
      <w:r>
        <w:rPr>
          <w:rFonts w:hint="eastAsia" w:ascii="等线" w:hAnsi="等线" w:eastAsia="等线" w:cs="宋体"/>
          <w:b/>
          <w:bCs/>
          <w:color w:val="000000"/>
          <w:kern w:val="0"/>
          <w:sz w:val="32"/>
          <w:szCs w:val="32"/>
          <w:u w:val="none"/>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日期：   年  月  日</w:t>
      </w:r>
    </w:p>
    <w:p/>
    <w:sectPr>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863C9"/>
    <w:rsid w:val="0D453348"/>
    <w:rsid w:val="0DD91BF5"/>
    <w:rsid w:val="0DF50570"/>
    <w:rsid w:val="11D81D3B"/>
    <w:rsid w:val="18695DE3"/>
    <w:rsid w:val="19393685"/>
    <w:rsid w:val="283A32F8"/>
    <w:rsid w:val="2A8863C9"/>
    <w:rsid w:val="2C504E98"/>
    <w:rsid w:val="2E884310"/>
    <w:rsid w:val="32630FC4"/>
    <w:rsid w:val="392C7E2E"/>
    <w:rsid w:val="3A9E3272"/>
    <w:rsid w:val="3EC00CFD"/>
    <w:rsid w:val="40E403F1"/>
    <w:rsid w:val="45A821CF"/>
    <w:rsid w:val="45F823D0"/>
    <w:rsid w:val="472114B3"/>
    <w:rsid w:val="48561630"/>
    <w:rsid w:val="4CD26AEF"/>
    <w:rsid w:val="54314BA1"/>
    <w:rsid w:val="5898534D"/>
    <w:rsid w:val="5ABF4E13"/>
    <w:rsid w:val="5C1B24C4"/>
    <w:rsid w:val="5D116340"/>
    <w:rsid w:val="5E1011F5"/>
    <w:rsid w:val="5F0A4A08"/>
    <w:rsid w:val="6171498D"/>
    <w:rsid w:val="66196513"/>
    <w:rsid w:val="69551805"/>
    <w:rsid w:val="69B05F77"/>
    <w:rsid w:val="6BC06C3D"/>
    <w:rsid w:val="6D6577DE"/>
    <w:rsid w:val="72F71196"/>
    <w:rsid w:val="74F67294"/>
    <w:rsid w:val="763C5112"/>
    <w:rsid w:val="77DF4754"/>
    <w:rsid w:val="7E1927B1"/>
    <w:rsid w:val="E9F7D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2021-12-14T00:18:00Z</dcterms:created>
  <dc:creator>顺其自然</dc:creator>
  <cp:lastModifiedBy>kylin</cp:lastModifiedBy>
  <cp:lastPrinted>2022-02-16T13:34:00Z</cp:lastPrinted>
  <dcterms:modified xsi:type="dcterms:W3CDTF">2023-02-23T14:59:55Z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6F902BCEB1FB4BC4A33EC24D2562CB1E</vt:lpwstr>
  </property>
</Properties>
</file>