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lang w:eastAsia="zh-CN"/>
        </w:rPr>
        <w:t>蓟州区科技局关于开展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“雏鹰”“瞪羚”企业认定筛查摸底情况的函</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各乡镇、园区：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为深入贯彻落实天津市新动能引育行动计划，做好202</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年“雏鹰”“瞪羚”企业认定工作，推进我区高成长性企业</w:t>
      </w:r>
      <w:r>
        <w:rPr>
          <w:rFonts w:hint="eastAsia" w:ascii="仿宋_GB2312" w:eastAsia="仿宋_GB2312"/>
          <w:sz w:val="32"/>
          <w:szCs w:val="32"/>
        </w:rPr>
        <w:t>梯度培育，</w:t>
      </w:r>
      <w:r>
        <w:rPr>
          <w:rFonts w:hint="eastAsia" w:ascii="仿宋_GB2312" w:eastAsia="仿宋_GB2312"/>
          <w:sz w:val="32"/>
          <w:szCs w:val="32"/>
          <w:lang w:eastAsia="zh-CN"/>
        </w:rPr>
        <w:t>促进科技型企业</w:t>
      </w:r>
      <w:r>
        <w:rPr>
          <w:rFonts w:hint="eastAsia" w:ascii="仿宋_GB2312" w:eastAsia="仿宋_GB2312"/>
          <w:sz w:val="32"/>
          <w:szCs w:val="32"/>
        </w:rPr>
        <w:t>高质量发展</w:t>
      </w:r>
      <w:r>
        <w:rPr>
          <w:rFonts w:hint="eastAsia" w:ascii="仿宋_GB2312" w:eastAsia="仿宋_GB2312"/>
          <w:sz w:val="32"/>
          <w:szCs w:val="32"/>
          <w:lang w:eastAsia="zh-CN"/>
        </w:rPr>
        <w:t>。请各乡镇、园区对照“雏鹰”“瞪羚”企业认定筛选条件，对辖区内相关企业进行筛查摸底，并填报《“雏鹰”企业认定筛查摸底情况汇总表》《“瞪羚”企业认定筛查摸底情况汇总表》（附件</w:t>
      </w:r>
      <w:r>
        <w:rPr>
          <w:rFonts w:hint="eastAsia" w:ascii="仿宋_GB2312" w:eastAsia="仿宋_GB2312"/>
          <w:sz w:val="32"/>
          <w:szCs w:val="32"/>
          <w:lang w:val="en-US" w:eastAsia="zh-CN"/>
        </w:rPr>
        <w:t>1、附件2</w:t>
      </w:r>
      <w:r>
        <w:rPr>
          <w:rFonts w:hint="eastAsia" w:ascii="仿宋_GB2312" w:eastAsia="仿宋_GB2312"/>
          <w:sz w:val="32"/>
          <w:szCs w:val="32"/>
          <w:lang w:eastAsia="zh-CN"/>
        </w:rPr>
        <w:t>）。具体筛选条件如下：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“雏鹰”企业认定筛选条件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w:t>
      </w:r>
      <w:r>
        <w:rPr>
          <w:rFonts w:hint="eastAsia" w:ascii="仿宋_GB2312" w:eastAsia="仿宋_GB2312"/>
          <w:sz w:val="32"/>
          <w:szCs w:val="32"/>
        </w:rPr>
        <w:t>天津市注册，具有独立法人资格的企业，</w:t>
      </w:r>
      <w:r>
        <w:rPr>
          <w:rFonts w:hint="eastAsia" w:ascii="仿宋_GB2312" w:eastAsia="仿宋_GB2312"/>
          <w:sz w:val="32"/>
          <w:szCs w:val="32"/>
          <w:lang w:val="en-US" w:eastAsia="zh-CN"/>
        </w:rPr>
        <w:t>注册时间为201</w:t>
      </w:r>
      <w:r>
        <w:rPr>
          <w:rFonts w:hint="default" w:ascii="仿宋_GB2312" w:eastAsia="仿宋_GB2312"/>
          <w:sz w:val="32"/>
          <w:szCs w:val="32"/>
          <w:lang w:val="en" w:eastAsia="zh-CN"/>
        </w:rPr>
        <w:t>4</w:t>
      </w:r>
      <w:r>
        <w:rPr>
          <w:rFonts w:hint="eastAsia" w:ascii="仿宋_GB2312" w:eastAsia="仿宋_GB2312"/>
          <w:sz w:val="32"/>
          <w:szCs w:val="32"/>
          <w:lang w:val="en-US" w:eastAsia="zh-CN"/>
        </w:rPr>
        <w:t>年1月1日至2021年12</w:t>
      </w:r>
      <w:r>
        <w:rPr>
          <w:rFonts w:hint="eastAsia" w:ascii="仿宋_GB2312" w:eastAsia="仿宋_GB2312"/>
          <w:sz w:val="32"/>
          <w:szCs w:val="32"/>
          <w:lang w:val="en" w:eastAsia="zh-CN"/>
        </w:rPr>
        <w:t>月</w:t>
      </w:r>
      <w:r>
        <w:rPr>
          <w:rFonts w:hint="eastAsia" w:ascii="仿宋_GB2312" w:eastAsia="仿宋_GB2312"/>
          <w:sz w:val="32"/>
          <w:szCs w:val="32"/>
          <w:lang w:val="en-US" w:eastAsia="zh-CN"/>
        </w:rPr>
        <w:t>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（二）</w:t>
      </w:r>
      <w:r>
        <w:rPr>
          <w:rFonts w:hint="eastAsia" w:ascii="仿宋_GB2312" w:eastAsia="仿宋_GB2312"/>
          <w:sz w:val="32"/>
          <w:szCs w:val="32"/>
        </w:rPr>
        <w:t>企业在申报当年及上一年</w:t>
      </w:r>
      <w:r>
        <w:rPr>
          <w:rFonts w:hint="eastAsia" w:ascii="仿宋_GB2312" w:eastAsia="仿宋_GB2312"/>
          <w:sz w:val="32"/>
          <w:szCs w:val="32"/>
          <w:lang w:eastAsia="zh-CN"/>
        </w:rPr>
        <w:t>正常生产经营，</w:t>
      </w:r>
      <w:r>
        <w:rPr>
          <w:rFonts w:hint="eastAsia" w:ascii="仿宋_GB2312" w:eastAsia="仿宋_GB2312"/>
          <w:sz w:val="32"/>
          <w:szCs w:val="32"/>
        </w:rPr>
        <w:t>未发生科研严重失信行为，且企业未列入经营异常名录和严重违法失信企业名单</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eastAsia="zh-CN"/>
        </w:rPr>
        <w:t>（三）企业上一年营业收入不低于10万元；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eastAsia="zh-CN"/>
        </w:rPr>
        <w:t>（四）企业拥有有效期内的1项（含）以上I类知识产权或2项（含）以上II类知识产权；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二、“瞪羚”企业认定筛选条件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（一）天津市注册，具有独立法人资格的企业</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rPr>
        <w:t>（二）企业在申报当年及上一年未发生科研严重失信行为，且企业未列入经营异常名录和严重违法失信企业名单</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lang w:val="en-US" w:eastAsia="zh-CN"/>
        </w:rPr>
        <w:t>2018年营业收入不低于1000万元，2018年</w:t>
      </w:r>
      <w:r>
        <w:rPr>
          <w:rFonts w:hint="eastAsia" w:ascii="仿宋_GB2312" w:eastAsia="仿宋_GB2312"/>
          <w:sz w:val="32"/>
          <w:szCs w:val="32"/>
        </w:rPr>
        <w:t>至</w:t>
      </w:r>
      <w:r>
        <w:rPr>
          <w:rFonts w:hint="eastAsia" w:ascii="仿宋_GB2312" w:eastAsia="仿宋_GB2312"/>
          <w:sz w:val="32"/>
          <w:szCs w:val="32"/>
          <w:lang w:val="en-US" w:eastAsia="zh-CN"/>
        </w:rPr>
        <w:t>2021</w:t>
      </w:r>
      <w:r>
        <w:rPr>
          <w:rFonts w:hint="eastAsia" w:ascii="仿宋_GB2312" w:eastAsia="仿宋_GB2312"/>
          <w:sz w:val="32"/>
          <w:szCs w:val="32"/>
        </w:rPr>
        <w:t>年度营业收入复合增长率不低于20%</w:t>
      </w:r>
      <w:r>
        <w:rPr>
          <w:rFonts w:hint="eastAsia" w:ascii="仿宋_GB2312" w:eastAsia="仿宋_GB2312"/>
          <w:sz w:val="32"/>
          <w:szCs w:val="32"/>
          <w:lang w:eastAsia="zh-CN"/>
        </w:rPr>
        <w:t>（按</w:t>
      </w:r>
      <w:r>
        <w:rPr>
          <w:rFonts w:hint="eastAsia" w:ascii="仿宋_GB2312" w:eastAsia="仿宋_GB2312"/>
          <w:sz w:val="32"/>
          <w:szCs w:val="32"/>
          <w:lang w:val="en-US" w:eastAsia="zh-CN"/>
        </w:rPr>
        <w:t>2018年营业收入为1000万元计算，2021年营业收入不低于1728万元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eastAsia="zh-CN"/>
        </w:rPr>
        <w:t>请各乡镇、园区于</w:t>
      </w:r>
      <w:r>
        <w:rPr>
          <w:rFonts w:hint="eastAsia" w:ascii="仿宋_GB2312" w:eastAsia="仿宋_GB2312"/>
          <w:sz w:val="32"/>
          <w:szCs w:val="32"/>
          <w:lang w:val="en-US" w:eastAsia="zh-CN"/>
        </w:rPr>
        <w:t>2月21日下午下班前，将</w:t>
      </w:r>
      <w:r>
        <w:rPr>
          <w:rFonts w:hint="eastAsia" w:ascii="仿宋_GB2312" w:eastAsia="仿宋_GB2312"/>
          <w:sz w:val="32"/>
          <w:szCs w:val="32"/>
          <w:lang w:eastAsia="zh-CN"/>
        </w:rPr>
        <w:t>《“雏鹰”企业认定筛查摸底情况汇总表》《“瞪羚”企业认定筛查摸底情况汇总表》，通过政务网反馈区科技局。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r>
        <w:rPr>
          <w:rFonts w:hint="eastAsia" w:ascii="仿宋_GB2312" w:eastAsia="仿宋_GB2312"/>
          <w:sz w:val="32"/>
          <w:szCs w:val="32"/>
          <w:lang w:eastAsia="zh-CN"/>
        </w:rPr>
        <w:t>“雏鹰”企业认定筛查摸底情况汇总表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w:t>
      </w:r>
      <w:r>
        <w:rPr>
          <w:rFonts w:hint="eastAsia" w:ascii="仿宋_GB2312" w:eastAsia="仿宋_GB2312"/>
          <w:sz w:val="32"/>
          <w:szCs w:val="32"/>
          <w:lang w:eastAsia="zh-CN"/>
        </w:rPr>
        <w:t>“瞪羚”企业认定筛查摸底情况汇总表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652" w:firstLineChars="204"/>
        <w:textAlignment w:val="auto"/>
        <w:rPr>
          <w:rFonts w:hint="default" w:ascii="仿宋_GB2312" w:eastAsia="仿宋_GB2312"/>
          <w:sz w:val="32"/>
          <w:szCs w:val="32"/>
          <w:lang w:val="en" w:eastAsia="zh-CN"/>
        </w:rPr>
      </w:pPr>
      <w:r>
        <w:rPr>
          <w:rFonts w:hint="eastAsia" w:ascii="仿宋_GB2312" w:eastAsia="仿宋_GB2312"/>
          <w:sz w:val="32"/>
          <w:szCs w:val="32"/>
          <w:lang w:val="en-US" w:eastAsia="zh-CN"/>
        </w:rPr>
        <w:t xml:space="preserve">  </w:t>
      </w:r>
      <w:r>
        <w:rPr>
          <w:rFonts w:hint="default" w:ascii="仿宋_GB2312" w:eastAsia="仿宋_GB2312"/>
          <w:sz w:val="32"/>
          <w:szCs w:val="32"/>
          <w:lang w:val="en" w:eastAsia="zh-CN"/>
        </w:rPr>
        <w:t xml:space="preserve">3.天津市雏鹰企业、瞪羚企业、科技领军企业和科技     </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1292" w:firstLineChars="404"/>
        <w:textAlignment w:val="auto"/>
        <w:rPr>
          <w:rFonts w:hint="default" w:ascii="仿宋_GB2312" w:eastAsia="仿宋_GB2312"/>
          <w:sz w:val="32"/>
          <w:szCs w:val="32"/>
          <w:lang w:val="en" w:eastAsia="zh-CN"/>
        </w:rPr>
      </w:pPr>
      <w:r>
        <w:rPr>
          <w:rFonts w:hint="default" w:ascii="仿宋_GB2312" w:eastAsia="仿宋_GB2312"/>
          <w:sz w:val="32"/>
          <w:szCs w:val="32"/>
          <w:lang w:val="en" w:eastAsia="zh-CN"/>
        </w:rPr>
        <w:t>领军培育企业评价与支持办法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联系人：惠  蕙  29142794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天津市蓟州区科学技术局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eastAsia="方正小标宋简体"/>
          <w:sz w:val="36"/>
          <w:szCs w:val="36"/>
        </w:rPr>
      </w:pPr>
      <w:r>
        <w:rPr>
          <w:rFonts w:hint="eastAsia" w:ascii="仿宋_GB2312" w:eastAsia="仿宋_GB2312"/>
          <w:sz w:val="32"/>
          <w:szCs w:val="32"/>
          <w:lang w:val="en-US" w:eastAsia="zh-CN"/>
        </w:rPr>
        <w:t xml:space="preserve">                               2022年2月11日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sectPr>
          <w:footerReference r:id="rId3" w:type="default"/>
          <w:footerReference r:id="rId4" w:type="even"/>
          <w:pgSz w:w="11906" w:h="16838"/>
          <w:pgMar w:top="2098" w:right="1474" w:bottom="1701" w:left="1588" w:header="851" w:footer="992" w:gutter="0"/>
          <w:pgNumType w:fmt="numberInDash"/>
          <w:cols w:space="425" w:num="1"/>
          <w:docGrid w:type="lines" w:linePitch="312" w:charSpace="0"/>
        </w:sectPr>
      </w:pPr>
    </w:p>
    <w:p>
      <w:pPr>
        <w:rPr>
          <w:rFonts w:hint="eastAsia" w:ascii="仿宋_GB2312" w:eastAsia="仿宋_GB2312"/>
          <w:sz w:val="32"/>
          <w:szCs w:val="32"/>
          <w:lang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r>
        <w:rPr>
          <w:rFonts w:hint="eastAsia" w:ascii="仿宋_GB2312" w:eastAsia="仿宋_GB2312"/>
          <w:sz w:val="32"/>
          <w:szCs w:val="32"/>
          <w:lang w:eastAsia="zh-CN"/>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“雏鹰”企业认定筛查摸底情况汇总表</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填报单位：</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1786"/>
        <w:gridCol w:w="3475"/>
        <w:gridCol w:w="1826"/>
        <w:gridCol w:w="145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noWrap w:val="0"/>
            <w:vAlign w:val="top"/>
          </w:tcPr>
          <w:p>
            <w:pPr>
              <w:jc w:val="center"/>
              <w:rPr>
                <w:rFonts w:hint="eastAsia" w:ascii="仿宋_GB2312" w:eastAsia="仿宋_GB2312"/>
                <w:b/>
                <w:bCs/>
                <w:sz w:val="32"/>
                <w:szCs w:val="32"/>
                <w:vertAlign w:val="baseline"/>
                <w:lang w:eastAsia="zh-CN"/>
              </w:rPr>
            </w:pPr>
            <w:r>
              <w:rPr>
                <w:rFonts w:hint="eastAsia" w:ascii="仿宋_GB2312" w:eastAsia="仿宋_GB2312"/>
                <w:b/>
                <w:bCs/>
                <w:sz w:val="32"/>
                <w:szCs w:val="32"/>
                <w:vertAlign w:val="baseline"/>
                <w:lang w:eastAsia="zh-CN"/>
              </w:rPr>
              <w:t>企业名称</w:t>
            </w:r>
          </w:p>
        </w:tc>
        <w:tc>
          <w:tcPr>
            <w:tcW w:w="1786" w:type="dxa"/>
            <w:noWrap w:val="0"/>
            <w:vAlign w:val="top"/>
          </w:tcPr>
          <w:p>
            <w:pPr>
              <w:jc w:val="center"/>
              <w:rPr>
                <w:rFonts w:hint="eastAsia" w:ascii="仿宋_GB2312" w:eastAsia="仿宋_GB2312"/>
                <w:b/>
                <w:bCs/>
                <w:sz w:val="32"/>
                <w:szCs w:val="32"/>
                <w:vertAlign w:val="baseline"/>
                <w:lang w:eastAsia="zh-CN"/>
              </w:rPr>
            </w:pPr>
            <w:r>
              <w:rPr>
                <w:rFonts w:hint="eastAsia" w:ascii="仿宋_GB2312" w:eastAsia="仿宋_GB2312"/>
                <w:b/>
                <w:bCs/>
                <w:sz w:val="32"/>
                <w:szCs w:val="32"/>
                <w:vertAlign w:val="baseline"/>
                <w:lang w:eastAsia="zh-CN"/>
              </w:rPr>
              <w:t>注册时间</w:t>
            </w:r>
          </w:p>
        </w:tc>
        <w:tc>
          <w:tcPr>
            <w:tcW w:w="3475" w:type="dxa"/>
            <w:noWrap w:val="0"/>
            <w:vAlign w:val="top"/>
          </w:tcPr>
          <w:p>
            <w:pPr>
              <w:jc w:val="center"/>
              <w:rPr>
                <w:rFonts w:hint="default"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2021年营业收入（万元）</w:t>
            </w:r>
          </w:p>
        </w:tc>
        <w:tc>
          <w:tcPr>
            <w:tcW w:w="1826" w:type="dxa"/>
            <w:noWrap w:val="0"/>
            <w:vAlign w:val="top"/>
          </w:tcPr>
          <w:p>
            <w:pPr>
              <w:jc w:val="center"/>
              <w:rPr>
                <w:rFonts w:hint="eastAsia" w:ascii="仿宋_GB2312" w:eastAsia="仿宋_GB2312"/>
                <w:b/>
                <w:bCs/>
                <w:sz w:val="32"/>
                <w:szCs w:val="32"/>
                <w:vertAlign w:val="baseline"/>
                <w:lang w:eastAsia="zh-CN"/>
              </w:rPr>
            </w:pPr>
            <w:r>
              <w:rPr>
                <w:rFonts w:hint="eastAsia" w:ascii="仿宋_GB2312" w:eastAsia="仿宋_GB2312"/>
                <w:b/>
                <w:bCs/>
                <w:sz w:val="32"/>
                <w:szCs w:val="32"/>
                <w:vertAlign w:val="baseline"/>
                <w:lang w:eastAsia="zh-CN"/>
              </w:rPr>
              <w:t>有效专利数</w:t>
            </w:r>
          </w:p>
        </w:tc>
        <w:tc>
          <w:tcPr>
            <w:tcW w:w="1458" w:type="dxa"/>
            <w:noWrap w:val="0"/>
            <w:vAlign w:val="top"/>
          </w:tcPr>
          <w:p>
            <w:pPr>
              <w:jc w:val="center"/>
              <w:rPr>
                <w:rFonts w:hint="eastAsia" w:ascii="仿宋_GB2312" w:eastAsia="仿宋_GB2312"/>
                <w:b/>
                <w:bCs/>
                <w:sz w:val="32"/>
                <w:szCs w:val="32"/>
                <w:vertAlign w:val="baseline"/>
                <w:lang w:eastAsia="zh-CN"/>
              </w:rPr>
            </w:pPr>
            <w:r>
              <w:rPr>
                <w:rFonts w:hint="eastAsia" w:ascii="仿宋_GB2312" w:eastAsia="仿宋_GB2312"/>
                <w:b/>
                <w:bCs/>
                <w:sz w:val="32"/>
                <w:szCs w:val="32"/>
                <w:vertAlign w:val="baseline"/>
                <w:lang w:eastAsia="zh-CN"/>
              </w:rPr>
              <w:t>联系人</w:t>
            </w:r>
          </w:p>
        </w:tc>
        <w:tc>
          <w:tcPr>
            <w:tcW w:w="2087" w:type="dxa"/>
            <w:noWrap w:val="0"/>
            <w:vAlign w:val="top"/>
          </w:tcPr>
          <w:p>
            <w:pPr>
              <w:jc w:val="center"/>
              <w:rPr>
                <w:rFonts w:hint="eastAsia" w:ascii="仿宋_GB2312" w:eastAsia="仿宋_GB2312"/>
                <w:b/>
                <w:bCs/>
                <w:sz w:val="32"/>
                <w:szCs w:val="32"/>
                <w:vertAlign w:val="baseline"/>
                <w:lang w:eastAsia="zh-CN"/>
              </w:rPr>
            </w:pPr>
            <w:r>
              <w:rPr>
                <w:rFonts w:hint="eastAsia" w:ascii="仿宋_GB2312" w:eastAsia="仿宋_GB2312"/>
                <w:b/>
                <w:bCs/>
                <w:sz w:val="32"/>
                <w:szCs w:val="32"/>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noWrap w:val="0"/>
            <w:vAlign w:val="top"/>
          </w:tcPr>
          <w:p>
            <w:pPr>
              <w:rPr>
                <w:rFonts w:hint="eastAsia" w:ascii="仿宋_GB2312" w:eastAsia="仿宋_GB2312"/>
                <w:sz w:val="32"/>
                <w:szCs w:val="32"/>
                <w:vertAlign w:val="baseline"/>
                <w:lang w:eastAsia="zh-CN"/>
              </w:rPr>
            </w:pPr>
          </w:p>
        </w:tc>
        <w:tc>
          <w:tcPr>
            <w:tcW w:w="1786" w:type="dxa"/>
            <w:noWrap w:val="0"/>
            <w:vAlign w:val="top"/>
          </w:tcPr>
          <w:p>
            <w:pPr>
              <w:rPr>
                <w:rFonts w:hint="eastAsia" w:ascii="仿宋_GB2312" w:eastAsia="仿宋_GB2312"/>
                <w:sz w:val="32"/>
                <w:szCs w:val="32"/>
                <w:vertAlign w:val="baseline"/>
                <w:lang w:eastAsia="zh-CN"/>
              </w:rPr>
            </w:pPr>
          </w:p>
        </w:tc>
        <w:tc>
          <w:tcPr>
            <w:tcW w:w="3475" w:type="dxa"/>
            <w:noWrap w:val="0"/>
            <w:vAlign w:val="top"/>
          </w:tcPr>
          <w:p>
            <w:pPr>
              <w:rPr>
                <w:rFonts w:hint="eastAsia" w:ascii="仿宋_GB2312" w:eastAsia="仿宋_GB2312"/>
                <w:sz w:val="32"/>
                <w:szCs w:val="32"/>
                <w:vertAlign w:val="baseline"/>
                <w:lang w:eastAsia="zh-CN"/>
              </w:rPr>
            </w:pPr>
          </w:p>
        </w:tc>
        <w:tc>
          <w:tcPr>
            <w:tcW w:w="1826" w:type="dxa"/>
            <w:noWrap w:val="0"/>
            <w:vAlign w:val="top"/>
          </w:tcPr>
          <w:p>
            <w:pPr>
              <w:rPr>
                <w:rFonts w:hint="eastAsia" w:ascii="仿宋_GB2312" w:eastAsia="仿宋_GB2312"/>
                <w:sz w:val="32"/>
                <w:szCs w:val="32"/>
                <w:vertAlign w:val="baseline"/>
                <w:lang w:eastAsia="zh-CN"/>
              </w:rPr>
            </w:pPr>
          </w:p>
        </w:tc>
        <w:tc>
          <w:tcPr>
            <w:tcW w:w="1458" w:type="dxa"/>
            <w:noWrap w:val="0"/>
            <w:vAlign w:val="top"/>
          </w:tcPr>
          <w:p>
            <w:pPr>
              <w:rPr>
                <w:rFonts w:hint="eastAsia" w:ascii="仿宋_GB2312" w:eastAsia="仿宋_GB2312"/>
                <w:sz w:val="32"/>
                <w:szCs w:val="32"/>
                <w:vertAlign w:val="baseline"/>
                <w:lang w:eastAsia="zh-CN"/>
              </w:rPr>
            </w:pPr>
          </w:p>
        </w:tc>
        <w:tc>
          <w:tcPr>
            <w:tcW w:w="2087" w:type="dxa"/>
            <w:noWrap w:val="0"/>
            <w:vAlign w:val="top"/>
          </w:tcPr>
          <w:p>
            <w:pPr>
              <w:rPr>
                <w:rFonts w:hint="eastAsia" w:ascii="仿宋_GB2312" w:eastAsia="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noWrap w:val="0"/>
            <w:vAlign w:val="top"/>
          </w:tcPr>
          <w:p>
            <w:pPr>
              <w:rPr>
                <w:rFonts w:hint="eastAsia" w:ascii="仿宋_GB2312" w:eastAsia="仿宋_GB2312"/>
                <w:sz w:val="32"/>
                <w:szCs w:val="32"/>
                <w:vertAlign w:val="baseline"/>
                <w:lang w:eastAsia="zh-CN"/>
              </w:rPr>
            </w:pPr>
          </w:p>
        </w:tc>
        <w:tc>
          <w:tcPr>
            <w:tcW w:w="1786" w:type="dxa"/>
            <w:noWrap w:val="0"/>
            <w:vAlign w:val="top"/>
          </w:tcPr>
          <w:p>
            <w:pPr>
              <w:rPr>
                <w:rFonts w:hint="eastAsia" w:ascii="仿宋_GB2312" w:eastAsia="仿宋_GB2312"/>
                <w:sz w:val="32"/>
                <w:szCs w:val="32"/>
                <w:vertAlign w:val="baseline"/>
                <w:lang w:eastAsia="zh-CN"/>
              </w:rPr>
            </w:pPr>
          </w:p>
        </w:tc>
        <w:tc>
          <w:tcPr>
            <w:tcW w:w="3475" w:type="dxa"/>
            <w:noWrap w:val="0"/>
            <w:vAlign w:val="top"/>
          </w:tcPr>
          <w:p>
            <w:pPr>
              <w:rPr>
                <w:rFonts w:hint="eastAsia" w:ascii="仿宋_GB2312" w:eastAsia="仿宋_GB2312"/>
                <w:sz w:val="32"/>
                <w:szCs w:val="32"/>
                <w:vertAlign w:val="baseline"/>
                <w:lang w:eastAsia="zh-CN"/>
              </w:rPr>
            </w:pPr>
          </w:p>
        </w:tc>
        <w:tc>
          <w:tcPr>
            <w:tcW w:w="1826" w:type="dxa"/>
            <w:noWrap w:val="0"/>
            <w:vAlign w:val="top"/>
          </w:tcPr>
          <w:p>
            <w:pPr>
              <w:rPr>
                <w:rFonts w:hint="eastAsia" w:ascii="仿宋_GB2312" w:eastAsia="仿宋_GB2312"/>
                <w:sz w:val="32"/>
                <w:szCs w:val="32"/>
                <w:vertAlign w:val="baseline"/>
                <w:lang w:eastAsia="zh-CN"/>
              </w:rPr>
            </w:pPr>
          </w:p>
        </w:tc>
        <w:tc>
          <w:tcPr>
            <w:tcW w:w="1458" w:type="dxa"/>
            <w:noWrap w:val="0"/>
            <w:vAlign w:val="top"/>
          </w:tcPr>
          <w:p>
            <w:pPr>
              <w:rPr>
                <w:rFonts w:hint="eastAsia" w:ascii="仿宋_GB2312" w:eastAsia="仿宋_GB2312"/>
                <w:sz w:val="32"/>
                <w:szCs w:val="32"/>
                <w:vertAlign w:val="baseline"/>
                <w:lang w:eastAsia="zh-CN"/>
              </w:rPr>
            </w:pPr>
          </w:p>
        </w:tc>
        <w:tc>
          <w:tcPr>
            <w:tcW w:w="2087" w:type="dxa"/>
            <w:noWrap w:val="0"/>
            <w:vAlign w:val="top"/>
          </w:tcPr>
          <w:p>
            <w:pPr>
              <w:rPr>
                <w:rFonts w:hint="eastAsia" w:ascii="仿宋_GB2312" w:eastAsia="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3" w:type="dxa"/>
            <w:noWrap w:val="0"/>
            <w:vAlign w:val="top"/>
          </w:tcPr>
          <w:p>
            <w:pPr>
              <w:rPr>
                <w:rFonts w:hint="eastAsia" w:ascii="仿宋_GB2312" w:eastAsia="仿宋_GB2312"/>
                <w:sz w:val="32"/>
                <w:szCs w:val="32"/>
                <w:vertAlign w:val="baseline"/>
                <w:lang w:eastAsia="zh-CN"/>
              </w:rPr>
            </w:pPr>
          </w:p>
        </w:tc>
        <w:tc>
          <w:tcPr>
            <w:tcW w:w="1786" w:type="dxa"/>
            <w:noWrap w:val="0"/>
            <w:vAlign w:val="top"/>
          </w:tcPr>
          <w:p>
            <w:pPr>
              <w:rPr>
                <w:rFonts w:hint="eastAsia" w:ascii="仿宋_GB2312" w:eastAsia="仿宋_GB2312"/>
                <w:sz w:val="32"/>
                <w:szCs w:val="32"/>
                <w:vertAlign w:val="baseline"/>
                <w:lang w:eastAsia="zh-CN"/>
              </w:rPr>
            </w:pPr>
          </w:p>
        </w:tc>
        <w:tc>
          <w:tcPr>
            <w:tcW w:w="3475" w:type="dxa"/>
            <w:noWrap w:val="0"/>
            <w:vAlign w:val="top"/>
          </w:tcPr>
          <w:p>
            <w:pPr>
              <w:rPr>
                <w:rFonts w:hint="eastAsia" w:ascii="仿宋_GB2312" w:eastAsia="仿宋_GB2312"/>
                <w:sz w:val="32"/>
                <w:szCs w:val="32"/>
                <w:vertAlign w:val="baseline"/>
                <w:lang w:eastAsia="zh-CN"/>
              </w:rPr>
            </w:pPr>
          </w:p>
        </w:tc>
        <w:tc>
          <w:tcPr>
            <w:tcW w:w="1826" w:type="dxa"/>
            <w:noWrap w:val="0"/>
            <w:vAlign w:val="top"/>
          </w:tcPr>
          <w:p>
            <w:pPr>
              <w:rPr>
                <w:rFonts w:hint="eastAsia" w:ascii="仿宋_GB2312" w:eastAsia="仿宋_GB2312"/>
                <w:sz w:val="32"/>
                <w:szCs w:val="32"/>
                <w:vertAlign w:val="baseline"/>
                <w:lang w:eastAsia="zh-CN"/>
              </w:rPr>
            </w:pPr>
          </w:p>
        </w:tc>
        <w:tc>
          <w:tcPr>
            <w:tcW w:w="1458" w:type="dxa"/>
            <w:noWrap w:val="0"/>
            <w:vAlign w:val="top"/>
          </w:tcPr>
          <w:p>
            <w:pPr>
              <w:rPr>
                <w:rFonts w:hint="eastAsia" w:ascii="仿宋_GB2312" w:eastAsia="仿宋_GB2312"/>
                <w:sz w:val="32"/>
                <w:szCs w:val="32"/>
                <w:vertAlign w:val="baseline"/>
                <w:lang w:eastAsia="zh-CN"/>
              </w:rPr>
            </w:pPr>
          </w:p>
        </w:tc>
        <w:tc>
          <w:tcPr>
            <w:tcW w:w="2087" w:type="dxa"/>
            <w:noWrap w:val="0"/>
            <w:vAlign w:val="top"/>
          </w:tcPr>
          <w:p>
            <w:pPr>
              <w:rPr>
                <w:rFonts w:hint="eastAsia" w:ascii="仿宋_GB2312" w:eastAsia="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noWrap w:val="0"/>
            <w:vAlign w:val="top"/>
          </w:tcPr>
          <w:p>
            <w:pPr>
              <w:rPr>
                <w:rFonts w:hint="eastAsia" w:ascii="仿宋_GB2312" w:eastAsia="仿宋_GB2312"/>
                <w:sz w:val="32"/>
                <w:szCs w:val="32"/>
                <w:vertAlign w:val="baseline"/>
                <w:lang w:eastAsia="zh-CN"/>
              </w:rPr>
            </w:pPr>
          </w:p>
        </w:tc>
        <w:tc>
          <w:tcPr>
            <w:tcW w:w="1786" w:type="dxa"/>
            <w:noWrap w:val="0"/>
            <w:vAlign w:val="top"/>
          </w:tcPr>
          <w:p>
            <w:pPr>
              <w:rPr>
                <w:rFonts w:hint="eastAsia" w:ascii="仿宋_GB2312" w:eastAsia="仿宋_GB2312"/>
                <w:sz w:val="32"/>
                <w:szCs w:val="32"/>
                <w:vertAlign w:val="baseline"/>
                <w:lang w:eastAsia="zh-CN"/>
              </w:rPr>
            </w:pPr>
          </w:p>
        </w:tc>
        <w:tc>
          <w:tcPr>
            <w:tcW w:w="3475" w:type="dxa"/>
            <w:noWrap w:val="0"/>
            <w:vAlign w:val="top"/>
          </w:tcPr>
          <w:p>
            <w:pPr>
              <w:rPr>
                <w:rFonts w:hint="eastAsia" w:ascii="仿宋_GB2312" w:eastAsia="仿宋_GB2312"/>
                <w:sz w:val="32"/>
                <w:szCs w:val="32"/>
                <w:vertAlign w:val="baseline"/>
                <w:lang w:eastAsia="zh-CN"/>
              </w:rPr>
            </w:pPr>
          </w:p>
        </w:tc>
        <w:tc>
          <w:tcPr>
            <w:tcW w:w="1826" w:type="dxa"/>
            <w:noWrap w:val="0"/>
            <w:vAlign w:val="top"/>
          </w:tcPr>
          <w:p>
            <w:pPr>
              <w:rPr>
                <w:rFonts w:hint="eastAsia" w:ascii="仿宋_GB2312" w:eastAsia="仿宋_GB2312"/>
                <w:sz w:val="32"/>
                <w:szCs w:val="32"/>
                <w:vertAlign w:val="baseline"/>
                <w:lang w:eastAsia="zh-CN"/>
              </w:rPr>
            </w:pPr>
          </w:p>
        </w:tc>
        <w:tc>
          <w:tcPr>
            <w:tcW w:w="1458" w:type="dxa"/>
            <w:noWrap w:val="0"/>
            <w:vAlign w:val="top"/>
          </w:tcPr>
          <w:p>
            <w:pPr>
              <w:rPr>
                <w:rFonts w:hint="eastAsia" w:ascii="仿宋_GB2312" w:eastAsia="仿宋_GB2312"/>
                <w:sz w:val="32"/>
                <w:szCs w:val="32"/>
                <w:vertAlign w:val="baseline"/>
                <w:lang w:eastAsia="zh-CN"/>
              </w:rPr>
            </w:pPr>
          </w:p>
        </w:tc>
        <w:tc>
          <w:tcPr>
            <w:tcW w:w="2087" w:type="dxa"/>
            <w:noWrap w:val="0"/>
            <w:vAlign w:val="top"/>
          </w:tcPr>
          <w:p>
            <w:pPr>
              <w:rPr>
                <w:rFonts w:hint="eastAsia" w:ascii="仿宋_GB2312" w:eastAsia="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noWrap w:val="0"/>
            <w:vAlign w:val="top"/>
          </w:tcPr>
          <w:p>
            <w:pPr>
              <w:rPr>
                <w:rFonts w:hint="eastAsia" w:ascii="仿宋_GB2312" w:eastAsia="仿宋_GB2312"/>
                <w:sz w:val="32"/>
                <w:szCs w:val="32"/>
                <w:vertAlign w:val="baseline"/>
                <w:lang w:eastAsia="zh-CN"/>
              </w:rPr>
            </w:pPr>
          </w:p>
        </w:tc>
        <w:tc>
          <w:tcPr>
            <w:tcW w:w="1786" w:type="dxa"/>
            <w:noWrap w:val="0"/>
            <w:vAlign w:val="top"/>
          </w:tcPr>
          <w:p>
            <w:pPr>
              <w:rPr>
                <w:rFonts w:hint="eastAsia" w:ascii="仿宋_GB2312" w:eastAsia="仿宋_GB2312"/>
                <w:sz w:val="32"/>
                <w:szCs w:val="32"/>
                <w:vertAlign w:val="baseline"/>
                <w:lang w:eastAsia="zh-CN"/>
              </w:rPr>
            </w:pPr>
          </w:p>
        </w:tc>
        <w:tc>
          <w:tcPr>
            <w:tcW w:w="3475" w:type="dxa"/>
            <w:noWrap w:val="0"/>
            <w:vAlign w:val="top"/>
          </w:tcPr>
          <w:p>
            <w:pPr>
              <w:rPr>
                <w:rFonts w:hint="eastAsia" w:ascii="仿宋_GB2312" w:eastAsia="仿宋_GB2312"/>
                <w:sz w:val="32"/>
                <w:szCs w:val="32"/>
                <w:vertAlign w:val="baseline"/>
                <w:lang w:eastAsia="zh-CN"/>
              </w:rPr>
            </w:pPr>
          </w:p>
        </w:tc>
        <w:tc>
          <w:tcPr>
            <w:tcW w:w="1826" w:type="dxa"/>
            <w:noWrap w:val="0"/>
            <w:vAlign w:val="top"/>
          </w:tcPr>
          <w:p>
            <w:pPr>
              <w:rPr>
                <w:rFonts w:hint="eastAsia" w:ascii="仿宋_GB2312" w:eastAsia="仿宋_GB2312"/>
                <w:sz w:val="32"/>
                <w:szCs w:val="32"/>
                <w:vertAlign w:val="baseline"/>
                <w:lang w:eastAsia="zh-CN"/>
              </w:rPr>
            </w:pPr>
          </w:p>
        </w:tc>
        <w:tc>
          <w:tcPr>
            <w:tcW w:w="1458" w:type="dxa"/>
            <w:noWrap w:val="0"/>
            <w:vAlign w:val="top"/>
          </w:tcPr>
          <w:p>
            <w:pPr>
              <w:rPr>
                <w:rFonts w:hint="eastAsia" w:ascii="仿宋_GB2312" w:eastAsia="仿宋_GB2312"/>
                <w:sz w:val="32"/>
                <w:szCs w:val="32"/>
                <w:vertAlign w:val="baseline"/>
                <w:lang w:eastAsia="zh-CN"/>
              </w:rPr>
            </w:pPr>
          </w:p>
        </w:tc>
        <w:tc>
          <w:tcPr>
            <w:tcW w:w="2087" w:type="dxa"/>
            <w:noWrap w:val="0"/>
            <w:vAlign w:val="top"/>
          </w:tcPr>
          <w:p>
            <w:pPr>
              <w:rPr>
                <w:rFonts w:hint="eastAsia" w:ascii="仿宋_GB2312" w:eastAsia="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noWrap w:val="0"/>
            <w:vAlign w:val="top"/>
          </w:tcPr>
          <w:p>
            <w:pPr>
              <w:rPr>
                <w:rFonts w:hint="eastAsia" w:ascii="仿宋_GB2312" w:eastAsia="仿宋_GB2312"/>
                <w:sz w:val="32"/>
                <w:szCs w:val="32"/>
                <w:vertAlign w:val="baseline"/>
                <w:lang w:eastAsia="zh-CN"/>
              </w:rPr>
            </w:pPr>
          </w:p>
        </w:tc>
        <w:tc>
          <w:tcPr>
            <w:tcW w:w="1786" w:type="dxa"/>
            <w:noWrap w:val="0"/>
            <w:vAlign w:val="top"/>
          </w:tcPr>
          <w:p>
            <w:pPr>
              <w:rPr>
                <w:rFonts w:hint="eastAsia" w:ascii="仿宋_GB2312" w:eastAsia="仿宋_GB2312"/>
                <w:sz w:val="32"/>
                <w:szCs w:val="32"/>
                <w:vertAlign w:val="baseline"/>
                <w:lang w:eastAsia="zh-CN"/>
              </w:rPr>
            </w:pPr>
          </w:p>
        </w:tc>
        <w:tc>
          <w:tcPr>
            <w:tcW w:w="3475" w:type="dxa"/>
            <w:noWrap w:val="0"/>
            <w:vAlign w:val="top"/>
          </w:tcPr>
          <w:p>
            <w:pPr>
              <w:rPr>
                <w:rFonts w:hint="eastAsia" w:ascii="仿宋_GB2312" w:eastAsia="仿宋_GB2312"/>
                <w:sz w:val="32"/>
                <w:szCs w:val="32"/>
                <w:vertAlign w:val="baseline"/>
                <w:lang w:eastAsia="zh-CN"/>
              </w:rPr>
            </w:pPr>
          </w:p>
        </w:tc>
        <w:tc>
          <w:tcPr>
            <w:tcW w:w="1826" w:type="dxa"/>
            <w:noWrap w:val="0"/>
            <w:vAlign w:val="top"/>
          </w:tcPr>
          <w:p>
            <w:pPr>
              <w:rPr>
                <w:rFonts w:hint="eastAsia" w:ascii="仿宋_GB2312" w:eastAsia="仿宋_GB2312"/>
                <w:sz w:val="32"/>
                <w:szCs w:val="32"/>
                <w:vertAlign w:val="baseline"/>
                <w:lang w:eastAsia="zh-CN"/>
              </w:rPr>
            </w:pPr>
          </w:p>
        </w:tc>
        <w:tc>
          <w:tcPr>
            <w:tcW w:w="1458" w:type="dxa"/>
            <w:noWrap w:val="0"/>
            <w:vAlign w:val="top"/>
          </w:tcPr>
          <w:p>
            <w:pPr>
              <w:rPr>
                <w:rFonts w:hint="eastAsia" w:ascii="仿宋_GB2312" w:eastAsia="仿宋_GB2312"/>
                <w:sz w:val="32"/>
                <w:szCs w:val="32"/>
                <w:vertAlign w:val="baseline"/>
                <w:lang w:eastAsia="zh-CN"/>
              </w:rPr>
            </w:pPr>
          </w:p>
        </w:tc>
        <w:tc>
          <w:tcPr>
            <w:tcW w:w="2087" w:type="dxa"/>
            <w:noWrap w:val="0"/>
            <w:vAlign w:val="top"/>
          </w:tcPr>
          <w:p>
            <w:pPr>
              <w:rPr>
                <w:rFonts w:hint="eastAsia" w:ascii="仿宋_GB2312" w:eastAsia="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3" w:type="dxa"/>
            <w:noWrap w:val="0"/>
            <w:vAlign w:val="top"/>
          </w:tcPr>
          <w:p>
            <w:pPr>
              <w:rPr>
                <w:rFonts w:hint="eastAsia" w:ascii="仿宋_GB2312" w:eastAsia="仿宋_GB2312"/>
                <w:sz w:val="32"/>
                <w:szCs w:val="32"/>
                <w:vertAlign w:val="baseline"/>
                <w:lang w:eastAsia="zh-CN"/>
              </w:rPr>
            </w:pPr>
          </w:p>
        </w:tc>
        <w:tc>
          <w:tcPr>
            <w:tcW w:w="1786" w:type="dxa"/>
            <w:noWrap w:val="0"/>
            <w:vAlign w:val="top"/>
          </w:tcPr>
          <w:p>
            <w:pPr>
              <w:rPr>
                <w:rFonts w:hint="eastAsia" w:ascii="仿宋_GB2312" w:eastAsia="仿宋_GB2312"/>
                <w:sz w:val="32"/>
                <w:szCs w:val="32"/>
                <w:vertAlign w:val="baseline"/>
                <w:lang w:eastAsia="zh-CN"/>
              </w:rPr>
            </w:pPr>
          </w:p>
        </w:tc>
        <w:tc>
          <w:tcPr>
            <w:tcW w:w="3475" w:type="dxa"/>
            <w:noWrap w:val="0"/>
            <w:vAlign w:val="top"/>
          </w:tcPr>
          <w:p>
            <w:pPr>
              <w:rPr>
                <w:rFonts w:hint="eastAsia" w:ascii="仿宋_GB2312" w:eastAsia="仿宋_GB2312"/>
                <w:sz w:val="32"/>
                <w:szCs w:val="32"/>
                <w:vertAlign w:val="baseline"/>
                <w:lang w:eastAsia="zh-CN"/>
              </w:rPr>
            </w:pPr>
          </w:p>
        </w:tc>
        <w:tc>
          <w:tcPr>
            <w:tcW w:w="1826" w:type="dxa"/>
            <w:noWrap w:val="0"/>
            <w:vAlign w:val="top"/>
          </w:tcPr>
          <w:p>
            <w:pPr>
              <w:rPr>
                <w:rFonts w:hint="eastAsia" w:ascii="仿宋_GB2312" w:eastAsia="仿宋_GB2312"/>
                <w:sz w:val="32"/>
                <w:szCs w:val="32"/>
                <w:vertAlign w:val="baseline"/>
                <w:lang w:eastAsia="zh-CN"/>
              </w:rPr>
            </w:pPr>
          </w:p>
        </w:tc>
        <w:tc>
          <w:tcPr>
            <w:tcW w:w="1458" w:type="dxa"/>
            <w:noWrap w:val="0"/>
            <w:vAlign w:val="top"/>
          </w:tcPr>
          <w:p>
            <w:pPr>
              <w:rPr>
                <w:rFonts w:hint="eastAsia" w:ascii="仿宋_GB2312" w:eastAsia="仿宋_GB2312"/>
                <w:sz w:val="32"/>
                <w:szCs w:val="32"/>
                <w:vertAlign w:val="baseline"/>
                <w:lang w:eastAsia="zh-CN"/>
              </w:rPr>
            </w:pPr>
          </w:p>
        </w:tc>
        <w:tc>
          <w:tcPr>
            <w:tcW w:w="2087" w:type="dxa"/>
            <w:noWrap w:val="0"/>
            <w:vAlign w:val="top"/>
          </w:tcPr>
          <w:p>
            <w:pPr>
              <w:rPr>
                <w:rFonts w:hint="eastAsia" w:ascii="仿宋_GB2312" w:eastAsia="仿宋_GB2312"/>
                <w:sz w:val="32"/>
                <w:szCs w:val="32"/>
                <w:vertAlign w:val="baseline"/>
                <w:lang w:eastAsia="zh-CN"/>
              </w:rPr>
            </w:pPr>
          </w:p>
        </w:tc>
      </w:tr>
    </w:tbl>
    <w:p>
      <w:pPr>
        <w:spacing w:line="540" w:lineRule="exact"/>
        <w:rPr>
          <w:rFonts w:ascii="仿宋_GB2312" w:eastAsia="仿宋_GB2312"/>
          <w:sz w:val="32"/>
          <w:szCs w:val="32"/>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t>附件2：</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“瞪羚”企业认定筛查摸底情况汇总表</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填报单位：</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0"/>
        <w:gridCol w:w="1692"/>
        <w:gridCol w:w="1773"/>
        <w:gridCol w:w="1773"/>
        <w:gridCol w:w="1786"/>
        <w:gridCol w:w="1456"/>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65" w:type="dxa"/>
            <w:vMerge w:val="restart"/>
            <w:noWrap w:val="0"/>
            <w:vAlign w:val="center"/>
          </w:tcPr>
          <w:p>
            <w:pPr>
              <w:numPr>
                <w:ilvl w:val="0"/>
                <w:numId w:val="0"/>
              </w:numPr>
              <w:jc w:val="center"/>
              <w:rPr>
                <w:rFonts w:hint="eastAsia"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企业名称</w:t>
            </w:r>
          </w:p>
        </w:tc>
        <w:tc>
          <w:tcPr>
            <w:tcW w:w="7425" w:type="dxa"/>
            <w:gridSpan w:val="4"/>
            <w:noWrap w:val="0"/>
            <w:vAlign w:val="center"/>
          </w:tcPr>
          <w:p>
            <w:pPr>
              <w:numPr>
                <w:ilvl w:val="0"/>
                <w:numId w:val="0"/>
              </w:numPr>
              <w:jc w:val="center"/>
              <w:rPr>
                <w:rFonts w:hint="eastAsia"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营业收入（万元）</w:t>
            </w:r>
          </w:p>
        </w:tc>
        <w:tc>
          <w:tcPr>
            <w:tcW w:w="1559" w:type="dxa"/>
            <w:vMerge w:val="restart"/>
            <w:noWrap w:val="0"/>
            <w:vAlign w:val="center"/>
          </w:tcPr>
          <w:p>
            <w:pPr>
              <w:numPr>
                <w:ilvl w:val="0"/>
                <w:numId w:val="0"/>
              </w:numPr>
              <w:jc w:val="center"/>
              <w:rPr>
                <w:rFonts w:hint="eastAsia"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联系人</w:t>
            </w:r>
          </w:p>
        </w:tc>
        <w:tc>
          <w:tcPr>
            <w:tcW w:w="2025" w:type="dxa"/>
            <w:vMerge w:val="restart"/>
            <w:noWrap w:val="0"/>
            <w:vAlign w:val="center"/>
          </w:tcPr>
          <w:p>
            <w:pPr>
              <w:numPr>
                <w:ilvl w:val="0"/>
                <w:numId w:val="0"/>
              </w:numPr>
              <w:jc w:val="center"/>
              <w:rPr>
                <w:rFonts w:hint="eastAsia"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165" w:type="dxa"/>
            <w:vMerge w:val="continue"/>
            <w:noWrap w:val="0"/>
            <w:vAlign w:val="center"/>
          </w:tcPr>
          <w:p>
            <w:pPr>
              <w:numPr>
                <w:ilvl w:val="0"/>
                <w:numId w:val="0"/>
              </w:numPr>
              <w:jc w:val="center"/>
              <w:rPr>
                <w:rFonts w:hint="eastAsia" w:ascii="仿宋_GB2312" w:eastAsia="仿宋_GB2312"/>
                <w:b/>
                <w:bCs/>
                <w:sz w:val="32"/>
                <w:szCs w:val="32"/>
                <w:vertAlign w:val="baseline"/>
                <w:lang w:val="en-US" w:eastAsia="zh-CN"/>
              </w:rPr>
            </w:pPr>
          </w:p>
        </w:tc>
        <w:tc>
          <w:tcPr>
            <w:tcW w:w="1785" w:type="dxa"/>
            <w:noWrap w:val="0"/>
            <w:vAlign w:val="center"/>
          </w:tcPr>
          <w:p>
            <w:pPr>
              <w:numPr>
                <w:ilvl w:val="0"/>
                <w:numId w:val="0"/>
              </w:numPr>
              <w:jc w:val="center"/>
              <w:rPr>
                <w:rFonts w:hint="eastAsia"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2018年</w:t>
            </w:r>
          </w:p>
        </w:tc>
        <w:tc>
          <w:tcPr>
            <w:tcW w:w="1875" w:type="dxa"/>
            <w:noWrap w:val="0"/>
            <w:vAlign w:val="center"/>
          </w:tcPr>
          <w:p>
            <w:pPr>
              <w:numPr>
                <w:ilvl w:val="0"/>
                <w:numId w:val="0"/>
              </w:numPr>
              <w:jc w:val="center"/>
              <w:rPr>
                <w:rFonts w:hint="eastAsia"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2019年</w:t>
            </w:r>
          </w:p>
        </w:tc>
        <w:tc>
          <w:tcPr>
            <w:tcW w:w="1875" w:type="dxa"/>
            <w:noWrap w:val="0"/>
            <w:vAlign w:val="center"/>
          </w:tcPr>
          <w:p>
            <w:pPr>
              <w:numPr>
                <w:ilvl w:val="0"/>
                <w:numId w:val="0"/>
              </w:numPr>
              <w:jc w:val="center"/>
              <w:rPr>
                <w:rFonts w:hint="eastAsia"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2020年</w:t>
            </w:r>
          </w:p>
        </w:tc>
        <w:tc>
          <w:tcPr>
            <w:tcW w:w="1890" w:type="dxa"/>
            <w:noWrap w:val="0"/>
            <w:vAlign w:val="center"/>
          </w:tcPr>
          <w:p>
            <w:pPr>
              <w:numPr>
                <w:ilvl w:val="0"/>
                <w:numId w:val="0"/>
              </w:numPr>
              <w:jc w:val="center"/>
              <w:rPr>
                <w:rFonts w:hint="eastAsia"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2021年</w:t>
            </w:r>
          </w:p>
        </w:tc>
        <w:tc>
          <w:tcPr>
            <w:tcW w:w="1559" w:type="dxa"/>
            <w:vMerge w:val="continue"/>
            <w:noWrap w:val="0"/>
            <w:vAlign w:val="center"/>
          </w:tcPr>
          <w:p>
            <w:pPr>
              <w:numPr>
                <w:ilvl w:val="0"/>
                <w:numId w:val="0"/>
              </w:numPr>
              <w:jc w:val="center"/>
              <w:rPr>
                <w:rFonts w:hint="eastAsia" w:ascii="仿宋_GB2312" w:eastAsia="仿宋_GB2312"/>
                <w:b/>
                <w:bCs/>
                <w:sz w:val="32"/>
                <w:szCs w:val="32"/>
                <w:vertAlign w:val="baseline"/>
                <w:lang w:val="en-US" w:eastAsia="zh-CN"/>
              </w:rPr>
            </w:pPr>
          </w:p>
        </w:tc>
        <w:tc>
          <w:tcPr>
            <w:tcW w:w="2025" w:type="dxa"/>
            <w:vMerge w:val="continue"/>
            <w:noWrap w:val="0"/>
            <w:vAlign w:val="center"/>
          </w:tcPr>
          <w:p>
            <w:pPr>
              <w:numPr>
                <w:ilvl w:val="0"/>
                <w:numId w:val="0"/>
              </w:numPr>
              <w:jc w:val="center"/>
              <w:rPr>
                <w:rFonts w:hint="eastAsia" w:ascii="仿宋_GB2312" w:eastAsia="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noWrap w:val="0"/>
            <w:vAlign w:val="center"/>
          </w:tcPr>
          <w:p>
            <w:pPr>
              <w:numPr>
                <w:ilvl w:val="0"/>
                <w:numId w:val="0"/>
              </w:numPr>
              <w:jc w:val="center"/>
              <w:rPr>
                <w:rFonts w:hint="eastAsia" w:ascii="仿宋_GB2312" w:eastAsia="仿宋_GB2312"/>
                <w:sz w:val="32"/>
                <w:szCs w:val="32"/>
                <w:vertAlign w:val="baseline"/>
                <w:lang w:val="en-US" w:eastAsia="zh-CN"/>
              </w:rPr>
            </w:pPr>
          </w:p>
        </w:tc>
        <w:tc>
          <w:tcPr>
            <w:tcW w:w="1785" w:type="dxa"/>
            <w:noWrap w:val="0"/>
            <w:vAlign w:val="center"/>
          </w:tcPr>
          <w:p>
            <w:pPr>
              <w:numPr>
                <w:ilvl w:val="0"/>
                <w:numId w:val="0"/>
              </w:numPr>
              <w:jc w:val="center"/>
              <w:rPr>
                <w:rFonts w:hint="eastAsia" w:ascii="仿宋_GB2312" w:eastAsia="仿宋_GB2312"/>
                <w:sz w:val="32"/>
                <w:szCs w:val="32"/>
                <w:vertAlign w:val="baseline"/>
                <w:lang w:val="en-US" w:eastAsia="zh-CN"/>
              </w:rPr>
            </w:pPr>
          </w:p>
        </w:tc>
        <w:tc>
          <w:tcPr>
            <w:tcW w:w="1875" w:type="dxa"/>
            <w:noWrap w:val="0"/>
            <w:vAlign w:val="center"/>
          </w:tcPr>
          <w:p>
            <w:pPr>
              <w:numPr>
                <w:ilvl w:val="0"/>
                <w:numId w:val="0"/>
              </w:numPr>
              <w:jc w:val="center"/>
              <w:rPr>
                <w:rFonts w:hint="eastAsia" w:ascii="仿宋_GB2312" w:eastAsia="仿宋_GB2312"/>
                <w:sz w:val="32"/>
                <w:szCs w:val="32"/>
                <w:vertAlign w:val="baseline"/>
                <w:lang w:val="en-US" w:eastAsia="zh-CN"/>
              </w:rPr>
            </w:pPr>
          </w:p>
        </w:tc>
        <w:tc>
          <w:tcPr>
            <w:tcW w:w="1875" w:type="dxa"/>
            <w:noWrap w:val="0"/>
            <w:vAlign w:val="center"/>
          </w:tcPr>
          <w:p>
            <w:pPr>
              <w:numPr>
                <w:ilvl w:val="0"/>
                <w:numId w:val="0"/>
              </w:numPr>
              <w:jc w:val="center"/>
              <w:rPr>
                <w:rFonts w:hint="eastAsia" w:ascii="仿宋_GB2312" w:eastAsia="仿宋_GB2312"/>
                <w:sz w:val="32"/>
                <w:szCs w:val="32"/>
                <w:vertAlign w:val="baseline"/>
                <w:lang w:val="en-US" w:eastAsia="zh-CN"/>
              </w:rPr>
            </w:pPr>
          </w:p>
        </w:tc>
        <w:tc>
          <w:tcPr>
            <w:tcW w:w="1890" w:type="dxa"/>
            <w:noWrap w:val="0"/>
            <w:vAlign w:val="center"/>
          </w:tcPr>
          <w:p>
            <w:pPr>
              <w:numPr>
                <w:ilvl w:val="0"/>
                <w:numId w:val="0"/>
              </w:numPr>
              <w:jc w:val="center"/>
              <w:rPr>
                <w:rFonts w:hint="eastAsia" w:ascii="仿宋_GB2312" w:eastAsia="仿宋_GB2312"/>
                <w:sz w:val="32"/>
                <w:szCs w:val="32"/>
                <w:vertAlign w:val="baseline"/>
                <w:lang w:val="en-US" w:eastAsia="zh-CN"/>
              </w:rPr>
            </w:pPr>
          </w:p>
        </w:tc>
        <w:tc>
          <w:tcPr>
            <w:tcW w:w="1559" w:type="dxa"/>
            <w:noWrap w:val="0"/>
            <w:vAlign w:val="center"/>
          </w:tcPr>
          <w:p>
            <w:pPr>
              <w:numPr>
                <w:ilvl w:val="0"/>
                <w:numId w:val="0"/>
              </w:numPr>
              <w:jc w:val="center"/>
              <w:rPr>
                <w:rFonts w:hint="eastAsia" w:ascii="仿宋_GB2312" w:eastAsia="仿宋_GB2312"/>
                <w:sz w:val="32"/>
                <w:szCs w:val="32"/>
                <w:vertAlign w:val="baseline"/>
                <w:lang w:val="en-US" w:eastAsia="zh-CN"/>
              </w:rPr>
            </w:pPr>
          </w:p>
        </w:tc>
        <w:tc>
          <w:tcPr>
            <w:tcW w:w="2025" w:type="dxa"/>
            <w:noWrap w:val="0"/>
            <w:vAlign w:val="center"/>
          </w:tcPr>
          <w:p>
            <w:pPr>
              <w:numPr>
                <w:ilvl w:val="0"/>
                <w:numId w:val="0"/>
              </w:numPr>
              <w:jc w:val="center"/>
              <w:rPr>
                <w:rFonts w:hint="eastAsia" w:ascii="仿宋_GB2312" w:eastAsia="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noWrap w:val="0"/>
            <w:vAlign w:val="top"/>
          </w:tcPr>
          <w:p>
            <w:pPr>
              <w:numPr>
                <w:ilvl w:val="0"/>
                <w:numId w:val="0"/>
              </w:numPr>
              <w:rPr>
                <w:rFonts w:hint="eastAsia" w:ascii="仿宋_GB2312" w:eastAsia="仿宋_GB2312"/>
                <w:sz w:val="32"/>
                <w:szCs w:val="32"/>
                <w:vertAlign w:val="baseline"/>
                <w:lang w:val="en-US" w:eastAsia="zh-CN"/>
              </w:rPr>
            </w:pPr>
          </w:p>
        </w:tc>
        <w:tc>
          <w:tcPr>
            <w:tcW w:w="1785" w:type="dxa"/>
            <w:noWrap w:val="0"/>
            <w:vAlign w:val="top"/>
          </w:tcPr>
          <w:p>
            <w:pPr>
              <w:numPr>
                <w:ilvl w:val="0"/>
                <w:numId w:val="0"/>
              </w:numPr>
              <w:rPr>
                <w:rFonts w:hint="eastAsia" w:ascii="仿宋_GB2312" w:eastAsia="仿宋_GB2312"/>
                <w:sz w:val="32"/>
                <w:szCs w:val="32"/>
                <w:vertAlign w:val="baseline"/>
                <w:lang w:val="en-US" w:eastAsia="zh-CN"/>
              </w:rPr>
            </w:pPr>
          </w:p>
        </w:tc>
        <w:tc>
          <w:tcPr>
            <w:tcW w:w="1875" w:type="dxa"/>
            <w:noWrap w:val="0"/>
            <w:vAlign w:val="top"/>
          </w:tcPr>
          <w:p>
            <w:pPr>
              <w:numPr>
                <w:ilvl w:val="0"/>
                <w:numId w:val="0"/>
              </w:numPr>
              <w:rPr>
                <w:rFonts w:hint="eastAsia" w:ascii="仿宋_GB2312" w:eastAsia="仿宋_GB2312"/>
                <w:sz w:val="32"/>
                <w:szCs w:val="32"/>
                <w:vertAlign w:val="baseline"/>
                <w:lang w:val="en-US" w:eastAsia="zh-CN"/>
              </w:rPr>
            </w:pPr>
          </w:p>
        </w:tc>
        <w:tc>
          <w:tcPr>
            <w:tcW w:w="1875" w:type="dxa"/>
            <w:noWrap w:val="0"/>
            <w:vAlign w:val="top"/>
          </w:tcPr>
          <w:p>
            <w:pPr>
              <w:numPr>
                <w:ilvl w:val="0"/>
                <w:numId w:val="0"/>
              </w:numPr>
              <w:rPr>
                <w:rFonts w:hint="eastAsia" w:ascii="仿宋_GB2312" w:eastAsia="仿宋_GB2312"/>
                <w:sz w:val="32"/>
                <w:szCs w:val="32"/>
                <w:vertAlign w:val="baseline"/>
                <w:lang w:val="en-US" w:eastAsia="zh-CN"/>
              </w:rPr>
            </w:pPr>
          </w:p>
        </w:tc>
        <w:tc>
          <w:tcPr>
            <w:tcW w:w="1890" w:type="dxa"/>
            <w:noWrap w:val="0"/>
            <w:vAlign w:val="top"/>
          </w:tcPr>
          <w:p>
            <w:pPr>
              <w:numPr>
                <w:ilvl w:val="0"/>
                <w:numId w:val="0"/>
              </w:numPr>
              <w:rPr>
                <w:rFonts w:hint="eastAsia" w:ascii="仿宋_GB2312" w:eastAsia="仿宋_GB2312"/>
                <w:sz w:val="32"/>
                <w:szCs w:val="32"/>
                <w:vertAlign w:val="baseline"/>
                <w:lang w:val="en-US" w:eastAsia="zh-CN"/>
              </w:rPr>
            </w:pPr>
          </w:p>
        </w:tc>
        <w:tc>
          <w:tcPr>
            <w:tcW w:w="1559" w:type="dxa"/>
            <w:noWrap w:val="0"/>
            <w:vAlign w:val="top"/>
          </w:tcPr>
          <w:p>
            <w:pPr>
              <w:numPr>
                <w:ilvl w:val="0"/>
                <w:numId w:val="0"/>
              </w:numPr>
              <w:rPr>
                <w:rFonts w:hint="eastAsia" w:ascii="仿宋_GB2312" w:eastAsia="仿宋_GB2312"/>
                <w:sz w:val="32"/>
                <w:szCs w:val="32"/>
                <w:vertAlign w:val="baseline"/>
                <w:lang w:val="en-US" w:eastAsia="zh-CN"/>
              </w:rPr>
            </w:pPr>
          </w:p>
        </w:tc>
        <w:tc>
          <w:tcPr>
            <w:tcW w:w="2025" w:type="dxa"/>
            <w:noWrap w:val="0"/>
            <w:vAlign w:val="top"/>
          </w:tcPr>
          <w:p>
            <w:pPr>
              <w:numPr>
                <w:ilvl w:val="0"/>
                <w:numId w:val="0"/>
              </w:numPr>
              <w:rPr>
                <w:rFonts w:hint="eastAsia" w:ascii="仿宋_GB2312" w:eastAsia="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noWrap w:val="0"/>
            <w:vAlign w:val="top"/>
          </w:tcPr>
          <w:p>
            <w:pPr>
              <w:numPr>
                <w:ilvl w:val="0"/>
                <w:numId w:val="0"/>
              </w:numPr>
              <w:rPr>
                <w:rFonts w:hint="eastAsia" w:ascii="仿宋_GB2312" w:eastAsia="仿宋_GB2312"/>
                <w:sz w:val="32"/>
                <w:szCs w:val="32"/>
                <w:vertAlign w:val="baseline"/>
                <w:lang w:val="en-US" w:eastAsia="zh-CN"/>
              </w:rPr>
            </w:pPr>
          </w:p>
        </w:tc>
        <w:tc>
          <w:tcPr>
            <w:tcW w:w="1785" w:type="dxa"/>
            <w:noWrap w:val="0"/>
            <w:vAlign w:val="top"/>
          </w:tcPr>
          <w:p>
            <w:pPr>
              <w:numPr>
                <w:ilvl w:val="0"/>
                <w:numId w:val="0"/>
              </w:numPr>
              <w:rPr>
                <w:rFonts w:hint="eastAsia" w:ascii="仿宋_GB2312" w:eastAsia="仿宋_GB2312"/>
                <w:sz w:val="32"/>
                <w:szCs w:val="32"/>
                <w:vertAlign w:val="baseline"/>
                <w:lang w:val="en-US" w:eastAsia="zh-CN"/>
              </w:rPr>
            </w:pPr>
          </w:p>
        </w:tc>
        <w:tc>
          <w:tcPr>
            <w:tcW w:w="1875" w:type="dxa"/>
            <w:noWrap w:val="0"/>
            <w:vAlign w:val="top"/>
          </w:tcPr>
          <w:p>
            <w:pPr>
              <w:numPr>
                <w:ilvl w:val="0"/>
                <w:numId w:val="0"/>
              </w:numPr>
              <w:rPr>
                <w:rFonts w:hint="eastAsia" w:ascii="仿宋_GB2312" w:eastAsia="仿宋_GB2312"/>
                <w:sz w:val="32"/>
                <w:szCs w:val="32"/>
                <w:vertAlign w:val="baseline"/>
                <w:lang w:val="en-US" w:eastAsia="zh-CN"/>
              </w:rPr>
            </w:pPr>
          </w:p>
        </w:tc>
        <w:tc>
          <w:tcPr>
            <w:tcW w:w="1875" w:type="dxa"/>
            <w:noWrap w:val="0"/>
            <w:vAlign w:val="top"/>
          </w:tcPr>
          <w:p>
            <w:pPr>
              <w:numPr>
                <w:ilvl w:val="0"/>
                <w:numId w:val="0"/>
              </w:numPr>
              <w:rPr>
                <w:rFonts w:hint="eastAsia" w:ascii="仿宋_GB2312" w:eastAsia="仿宋_GB2312"/>
                <w:sz w:val="32"/>
                <w:szCs w:val="32"/>
                <w:vertAlign w:val="baseline"/>
                <w:lang w:val="en-US" w:eastAsia="zh-CN"/>
              </w:rPr>
            </w:pPr>
          </w:p>
        </w:tc>
        <w:tc>
          <w:tcPr>
            <w:tcW w:w="1890" w:type="dxa"/>
            <w:noWrap w:val="0"/>
            <w:vAlign w:val="top"/>
          </w:tcPr>
          <w:p>
            <w:pPr>
              <w:numPr>
                <w:ilvl w:val="0"/>
                <w:numId w:val="0"/>
              </w:numPr>
              <w:rPr>
                <w:rFonts w:hint="eastAsia" w:ascii="仿宋_GB2312" w:eastAsia="仿宋_GB2312"/>
                <w:sz w:val="32"/>
                <w:szCs w:val="32"/>
                <w:vertAlign w:val="baseline"/>
                <w:lang w:val="en-US" w:eastAsia="zh-CN"/>
              </w:rPr>
            </w:pPr>
          </w:p>
        </w:tc>
        <w:tc>
          <w:tcPr>
            <w:tcW w:w="1559" w:type="dxa"/>
            <w:noWrap w:val="0"/>
            <w:vAlign w:val="top"/>
          </w:tcPr>
          <w:p>
            <w:pPr>
              <w:numPr>
                <w:ilvl w:val="0"/>
                <w:numId w:val="0"/>
              </w:numPr>
              <w:rPr>
                <w:rFonts w:hint="eastAsia" w:ascii="仿宋_GB2312" w:eastAsia="仿宋_GB2312"/>
                <w:sz w:val="32"/>
                <w:szCs w:val="32"/>
                <w:vertAlign w:val="baseline"/>
                <w:lang w:val="en-US" w:eastAsia="zh-CN"/>
              </w:rPr>
            </w:pPr>
          </w:p>
        </w:tc>
        <w:tc>
          <w:tcPr>
            <w:tcW w:w="2025" w:type="dxa"/>
            <w:noWrap w:val="0"/>
            <w:vAlign w:val="top"/>
          </w:tcPr>
          <w:p>
            <w:pPr>
              <w:numPr>
                <w:ilvl w:val="0"/>
                <w:numId w:val="0"/>
              </w:numPr>
              <w:rPr>
                <w:rFonts w:hint="eastAsia" w:ascii="仿宋_GB2312" w:eastAsia="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noWrap w:val="0"/>
            <w:vAlign w:val="top"/>
          </w:tcPr>
          <w:p>
            <w:pPr>
              <w:numPr>
                <w:ilvl w:val="0"/>
                <w:numId w:val="0"/>
              </w:numPr>
              <w:rPr>
                <w:rFonts w:hint="eastAsia" w:ascii="仿宋_GB2312" w:eastAsia="仿宋_GB2312"/>
                <w:sz w:val="32"/>
                <w:szCs w:val="32"/>
                <w:vertAlign w:val="baseline"/>
                <w:lang w:val="en-US" w:eastAsia="zh-CN"/>
              </w:rPr>
            </w:pPr>
          </w:p>
        </w:tc>
        <w:tc>
          <w:tcPr>
            <w:tcW w:w="1785" w:type="dxa"/>
            <w:noWrap w:val="0"/>
            <w:vAlign w:val="top"/>
          </w:tcPr>
          <w:p>
            <w:pPr>
              <w:numPr>
                <w:ilvl w:val="0"/>
                <w:numId w:val="0"/>
              </w:numPr>
              <w:rPr>
                <w:rFonts w:hint="eastAsia" w:ascii="仿宋_GB2312" w:eastAsia="仿宋_GB2312"/>
                <w:sz w:val="32"/>
                <w:szCs w:val="32"/>
                <w:vertAlign w:val="baseline"/>
                <w:lang w:val="en-US" w:eastAsia="zh-CN"/>
              </w:rPr>
            </w:pPr>
          </w:p>
        </w:tc>
        <w:tc>
          <w:tcPr>
            <w:tcW w:w="1875" w:type="dxa"/>
            <w:noWrap w:val="0"/>
            <w:vAlign w:val="top"/>
          </w:tcPr>
          <w:p>
            <w:pPr>
              <w:numPr>
                <w:ilvl w:val="0"/>
                <w:numId w:val="0"/>
              </w:numPr>
              <w:rPr>
                <w:rFonts w:hint="eastAsia" w:ascii="仿宋_GB2312" w:eastAsia="仿宋_GB2312"/>
                <w:sz w:val="32"/>
                <w:szCs w:val="32"/>
                <w:vertAlign w:val="baseline"/>
                <w:lang w:val="en-US" w:eastAsia="zh-CN"/>
              </w:rPr>
            </w:pPr>
          </w:p>
        </w:tc>
        <w:tc>
          <w:tcPr>
            <w:tcW w:w="1875" w:type="dxa"/>
            <w:noWrap w:val="0"/>
            <w:vAlign w:val="top"/>
          </w:tcPr>
          <w:p>
            <w:pPr>
              <w:numPr>
                <w:ilvl w:val="0"/>
                <w:numId w:val="0"/>
              </w:numPr>
              <w:rPr>
                <w:rFonts w:hint="eastAsia" w:ascii="仿宋_GB2312" w:eastAsia="仿宋_GB2312"/>
                <w:sz w:val="32"/>
                <w:szCs w:val="32"/>
                <w:vertAlign w:val="baseline"/>
                <w:lang w:val="en-US" w:eastAsia="zh-CN"/>
              </w:rPr>
            </w:pPr>
          </w:p>
        </w:tc>
        <w:tc>
          <w:tcPr>
            <w:tcW w:w="1890" w:type="dxa"/>
            <w:noWrap w:val="0"/>
            <w:vAlign w:val="top"/>
          </w:tcPr>
          <w:p>
            <w:pPr>
              <w:numPr>
                <w:ilvl w:val="0"/>
                <w:numId w:val="0"/>
              </w:numPr>
              <w:rPr>
                <w:rFonts w:hint="eastAsia" w:ascii="仿宋_GB2312" w:eastAsia="仿宋_GB2312"/>
                <w:sz w:val="32"/>
                <w:szCs w:val="32"/>
                <w:vertAlign w:val="baseline"/>
                <w:lang w:val="en-US" w:eastAsia="zh-CN"/>
              </w:rPr>
            </w:pPr>
          </w:p>
        </w:tc>
        <w:tc>
          <w:tcPr>
            <w:tcW w:w="1559" w:type="dxa"/>
            <w:noWrap w:val="0"/>
            <w:vAlign w:val="top"/>
          </w:tcPr>
          <w:p>
            <w:pPr>
              <w:numPr>
                <w:ilvl w:val="0"/>
                <w:numId w:val="0"/>
              </w:numPr>
              <w:rPr>
                <w:rFonts w:hint="eastAsia" w:ascii="仿宋_GB2312" w:eastAsia="仿宋_GB2312"/>
                <w:sz w:val="32"/>
                <w:szCs w:val="32"/>
                <w:vertAlign w:val="baseline"/>
                <w:lang w:val="en-US" w:eastAsia="zh-CN"/>
              </w:rPr>
            </w:pPr>
          </w:p>
        </w:tc>
        <w:tc>
          <w:tcPr>
            <w:tcW w:w="2025" w:type="dxa"/>
            <w:noWrap w:val="0"/>
            <w:vAlign w:val="top"/>
          </w:tcPr>
          <w:p>
            <w:pPr>
              <w:numPr>
                <w:ilvl w:val="0"/>
                <w:numId w:val="0"/>
              </w:numPr>
              <w:rPr>
                <w:rFonts w:hint="eastAsia" w:ascii="仿宋_GB2312" w:eastAsia="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noWrap w:val="0"/>
            <w:vAlign w:val="top"/>
          </w:tcPr>
          <w:p>
            <w:pPr>
              <w:numPr>
                <w:ilvl w:val="0"/>
                <w:numId w:val="0"/>
              </w:numPr>
              <w:rPr>
                <w:rFonts w:hint="eastAsia" w:ascii="仿宋_GB2312" w:eastAsia="仿宋_GB2312"/>
                <w:sz w:val="32"/>
                <w:szCs w:val="32"/>
                <w:vertAlign w:val="baseline"/>
                <w:lang w:val="en-US" w:eastAsia="zh-CN"/>
              </w:rPr>
            </w:pPr>
          </w:p>
        </w:tc>
        <w:tc>
          <w:tcPr>
            <w:tcW w:w="1785" w:type="dxa"/>
            <w:noWrap w:val="0"/>
            <w:vAlign w:val="top"/>
          </w:tcPr>
          <w:p>
            <w:pPr>
              <w:numPr>
                <w:ilvl w:val="0"/>
                <w:numId w:val="0"/>
              </w:numPr>
              <w:rPr>
                <w:rFonts w:hint="eastAsia" w:ascii="仿宋_GB2312" w:eastAsia="仿宋_GB2312"/>
                <w:sz w:val="32"/>
                <w:szCs w:val="32"/>
                <w:vertAlign w:val="baseline"/>
                <w:lang w:val="en-US" w:eastAsia="zh-CN"/>
              </w:rPr>
            </w:pPr>
          </w:p>
        </w:tc>
        <w:tc>
          <w:tcPr>
            <w:tcW w:w="1875" w:type="dxa"/>
            <w:noWrap w:val="0"/>
            <w:vAlign w:val="top"/>
          </w:tcPr>
          <w:p>
            <w:pPr>
              <w:numPr>
                <w:ilvl w:val="0"/>
                <w:numId w:val="0"/>
              </w:numPr>
              <w:rPr>
                <w:rFonts w:hint="eastAsia" w:ascii="仿宋_GB2312" w:eastAsia="仿宋_GB2312"/>
                <w:sz w:val="32"/>
                <w:szCs w:val="32"/>
                <w:vertAlign w:val="baseline"/>
                <w:lang w:val="en-US" w:eastAsia="zh-CN"/>
              </w:rPr>
            </w:pPr>
          </w:p>
        </w:tc>
        <w:tc>
          <w:tcPr>
            <w:tcW w:w="1875" w:type="dxa"/>
            <w:noWrap w:val="0"/>
            <w:vAlign w:val="top"/>
          </w:tcPr>
          <w:p>
            <w:pPr>
              <w:numPr>
                <w:ilvl w:val="0"/>
                <w:numId w:val="0"/>
              </w:numPr>
              <w:rPr>
                <w:rFonts w:hint="eastAsia" w:ascii="仿宋_GB2312" w:eastAsia="仿宋_GB2312"/>
                <w:sz w:val="32"/>
                <w:szCs w:val="32"/>
                <w:vertAlign w:val="baseline"/>
                <w:lang w:val="en-US" w:eastAsia="zh-CN"/>
              </w:rPr>
            </w:pPr>
          </w:p>
        </w:tc>
        <w:tc>
          <w:tcPr>
            <w:tcW w:w="1890" w:type="dxa"/>
            <w:noWrap w:val="0"/>
            <w:vAlign w:val="top"/>
          </w:tcPr>
          <w:p>
            <w:pPr>
              <w:numPr>
                <w:ilvl w:val="0"/>
                <w:numId w:val="0"/>
              </w:numPr>
              <w:rPr>
                <w:rFonts w:hint="eastAsia" w:ascii="仿宋_GB2312" w:eastAsia="仿宋_GB2312"/>
                <w:sz w:val="32"/>
                <w:szCs w:val="32"/>
                <w:vertAlign w:val="baseline"/>
                <w:lang w:val="en-US" w:eastAsia="zh-CN"/>
              </w:rPr>
            </w:pPr>
          </w:p>
        </w:tc>
        <w:tc>
          <w:tcPr>
            <w:tcW w:w="1559" w:type="dxa"/>
            <w:noWrap w:val="0"/>
            <w:vAlign w:val="top"/>
          </w:tcPr>
          <w:p>
            <w:pPr>
              <w:numPr>
                <w:ilvl w:val="0"/>
                <w:numId w:val="0"/>
              </w:numPr>
              <w:rPr>
                <w:rFonts w:hint="eastAsia" w:ascii="仿宋_GB2312" w:eastAsia="仿宋_GB2312"/>
                <w:sz w:val="32"/>
                <w:szCs w:val="32"/>
                <w:vertAlign w:val="baseline"/>
                <w:lang w:val="en-US" w:eastAsia="zh-CN"/>
              </w:rPr>
            </w:pPr>
          </w:p>
        </w:tc>
        <w:tc>
          <w:tcPr>
            <w:tcW w:w="2025" w:type="dxa"/>
            <w:noWrap w:val="0"/>
            <w:vAlign w:val="top"/>
          </w:tcPr>
          <w:p>
            <w:pPr>
              <w:numPr>
                <w:ilvl w:val="0"/>
                <w:numId w:val="0"/>
              </w:numPr>
              <w:rPr>
                <w:rFonts w:hint="eastAsia" w:ascii="仿宋_GB2312" w:eastAsia="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noWrap w:val="0"/>
            <w:vAlign w:val="top"/>
          </w:tcPr>
          <w:p>
            <w:pPr>
              <w:numPr>
                <w:ilvl w:val="0"/>
                <w:numId w:val="0"/>
              </w:numPr>
              <w:rPr>
                <w:rFonts w:hint="eastAsia" w:ascii="仿宋_GB2312" w:eastAsia="仿宋_GB2312"/>
                <w:sz w:val="32"/>
                <w:szCs w:val="32"/>
                <w:vertAlign w:val="baseline"/>
                <w:lang w:val="en-US" w:eastAsia="zh-CN"/>
              </w:rPr>
            </w:pPr>
          </w:p>
        </w:tc>
        <w:tc>
          <w:tcPr>
            <w:tcW w:w="1785" w:type="dxa"/>
            <w:noWrap w:val="0"/>
            <w:vAlign w:val="top"/>
          </w:tcPr>
          <w:p>
            <w:pPr>
              <w:numPr>
                <w:ilvl w:val="0"/>
                <w:numId w:val="0"/>
              </w:numPr>
              <w:rPr>
                <w:rFonts w:hint="eastAsia" w:ascii="仿宋_GB2312" w:eastAsia="仿宋_GB2312"/>
                <w:sz w:val="32"/>
                <w:szCs w:val="32"/>
                <w:vertAlign w:val="baseline"/>
                <w:lang w:val="en-US" w:eastAsia="zh-CN"/>
              </w:rPr>
            </w:pPr>
          </w:p>
        </w:tc>
        <w:tc>
          <w:tcPr>
            <w:tcW w:w="1875" w:type="dxa"/>
            <w:noWrap w:val="0"/>
            <w:vAlign w:val="top"/>
          </w:tcPr>
          <w:p>
            <w:pPr>
              <w:numPr>
                <w:ilvl w:val="0"/>
                <w:numId w:val="0"/>
              </w:numPr>
              <w:rPr>
                <w:rFonts w:hint="eastAsia" w:ascii="仿宋_GB2312" w:eastAsia="仿宋_GB2312"/>
                <w:sz w:val="32"/>
                <w:szCs w:val="32"/>
                <w:vertAlign w:val="baseline"/>
                <w:lang w:val="en-US" w:eastAsia="zh-CN"/>
              </w:rPr>
            </w:pPr>
          </w:p>
        </w:tc>
        <w:tc>
          <w:tcPr>
            <w:tcW w:w="1875" w:type="dxa"/>
            <w:noWrap w:val="0"/>
            <w:vAlign w:val="top"/>
          </w:tcPr>
          <w:p>
            <w:pPr>
              <w:numPr>
                <w:ilvl w:val="0"/>
                <w:numId w:val="0"/>
              </w:numPr>
              <w:rPr>
                <w:rFonts w:hint="eastAsia" w:ascii="仿宋_GB2312" w:eastAsia="仿宋_GB2312"/>
                <w:sz w:val="32"/>
                <w:szCs w:val="32"/>
                <w:vertAlign w:val="baseline"/>
                <w:lang w:val="en-US" w:eastAsia="zh-CN"/>
              </w:rPr>
            </w:pPr>
          </w:p>
        </w:tc>
        <w:tc>
          <w:tcPr>
            <w:tcW w:w="1890" w:type="dxa"/>
            <w:noWrap w:val="0"/>
            <w:vAlign w:val="top"/>
          </w:tcPr>
          <w:p>
            <w:pPr>
              <w:numPr>
                <w:ilvl w:val="0"/>
                <w:numId w:val="0"/>
              </w:numPr>
              <w:rPr>
                <w:rFonts w:hint="eastAsia" w:ascii="仿宋_GB2312" w:eastAsia="仿宋_GB2312"/>
                <w:sz w:val="32"/>
                <w:szCs w:val="32"/>
                <w:vertAlign w:val="baseline"/>
                <w:lang w:val="en-US" w:eastAsia="zh-CN"/>
              </w:rPr>
            </w:pPr>
          </w:p>
        </w:tc>
        <w:tc>
          <w:tcPr>
            <w:tcW w:w="1559" w:type="dxa"/>
            <w:noWrap w:val="0"/>
            <w:vAlign w:val="top"/>
          </w:tcPr>
          <w:p>
            <w:pPr>
              <w:numPr>
                <w:ilvl w:val="0"/>
                <w:numId w:val="0"/>
              </w:numPr>
              <w:rPr>
                <w:rFonts w:hint="eastAsia" w:ascii="仿宋_GB2312" w:eastAsia="仿宋_GB2312"/>
                <w:sz w:val="32"/>
                <w:szCs w:val="32"/>
                <w:vertAlign w:val="baseline"/>
                <w:lang w:val="en-US" w:eastAsia="zh-CN"/>
              </w:rPr>
            </w:pPr>
          </w:p>
        </w:tc>
        <w:tc>
          <w:tcPr>
            <w:tcW w:w="2025" w:type="dxa"/>
            <w:noWrap w:val="0"/>
            <w:vAlign w:val="top"/>
          </w:tcPr>
          <w:p>
            <w:pPr>
              <w:numPr>
                <w:ilvl w:val="0"/>
                <w:numId w:val="0"/>
              </w:numPr>
              <w:rPr>
                <w:rFonts w:hint="eastAsia" w:ascii="仿宋_GB2312" w:eastAsia="仿宋_GB2312"/>
                <w:sz w:val="32"/>
                <w:szCs w:val="32"/>
                <w:vertAlign w:val="baseline"/>
                <w:lang w:val="en-US" w:eastAsia="zh-CN"/>
              </w:rPr>
            </w:pPr>
          </w:p>
        </w:tc>
      </w:tr>
    </w:tbl>
    <w:p>
      <w:pPr>
        <w:spacing w:line="540" w:lineRule="exact"/>
        <w:rPr>
          <w:rFonts w:ascii="仿宋_GB2312" w:eastAsia="仿宋_GB2312"/>
          <w:sz w:val="32"/>
          <w:szCs w:val="32"/>
        </w:rPr>
      </w:pPr>
    </w:p>
    <w:p>
      <w:pPr>
        <w:spacing w:line="540" w:lineRule="exact"/>
        <w:rPr>
          <w:rFonts w:ascii="仿宋_GB2312" w:eastAsia="仿宋_GB2312"/>
          <w:sz w:val="32"/>
          <w:szCs w:val="32"/>
        </w:rPr>
        <w:sectPr>
          <w:pgSz w:w="16838" w:h="11906" w:orient="landscape"/>
          <w:pgMar w:top="1588" w:right="2098" w:bottom="1474" w:left="1701" w:header="851" w:footer="992" w:gutter="0"/>
          <w:pgNumType w:fmt="numberInDash"/>
          <w:cols w:space="425" w:num="1"/>
          <w:docGrid w:type="lines" w:linePitch="312" w:charSpace="0"/>
        </w:sectPr>
      </w:pPr>
    </w:p>
    <w:p>
      <w:pPr>
        <w:spacing w:line="540" w:lineRule="exact"/>
        <w:rPr>
          <w:rFonts w:hint="eastAsia" w:ascii="仿宋_GB2312" w:eastAsia="仿宋_GB2312"/>
          <w:sz w:val="32"/>
          <w:szCs w:val="32"/>
          <w:lang w:val="en-US" w:eastAsia="zh-CN"/>
        </w:rPr>
      </w:pPr>
      <w:r>
        <w:rPr>
          <w:rFonts w:hint="eastAsia" w:ascii="仿宋_GB2312" w:eastAsia="仿宋_GB2312"/>
          <w:sz w:val="32"/>
          <w:szCs w:val="32"/>
          <w:lang w:val="en" w:eastAsia="zh-CN"/>
        </w:rPr>
        <w:t>附件</w:t>
      </w:r>
      <w:r>
        <w:rPr>
          <w:rFonts w:hint="eastAsia" w:ascii="仿宋_GB2312" w:eastAsia="仿宋_GB2312"/>
          <w:sz w:val="32"/>
          <w:szCs w:val="32"/>
          <w:lang w:val="en-US" w:eastAsia="zh-CN"/>
        </w:rPr>
        <w:t>3：</w:t>
      </w:r>
    </w:p>
    <w:p>
      <w:pPr>
        <w:spacing w:line="540" w:lineRule="exact"/>
        <w:rPr>
          <w:rFonts w:hint="eastAsia" w:ascii="仿宋_GB2312" w:eastAsia="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680" w:lineRule="exact"/>
        <w:jc w:val="center"/>
        <w:textAlignment w:val="auto"/>
        <w:rPr>
          <w:rFonts w:hint="eastAsia" w:ascii="Nimbus Roman No9 L" w:hAnsi="Nimbus Roman No9 L" w:eastAsia="方正小标宋简体" w:cs="Nimbus Roman No9 L"/>
          <w:i w:val="0"/>
          <w:iCs w:val="0"/>
          <w:color w:val="auto"/>
          <w:sz w:val="44"/>
          <w:szCs w:val="44"/>
          <w:u w:val="none"/>
          <w:lang w:val="en-US" w:eastAsia="zh-CN"/>
        </w:rPr>
      </w:pPr>
      <w:r>
        <w:rPr>
          <w:rFonts w:hint="eastAsia" w:ascii="Nimbus Roman No9 L" w:hAnsi="Nimbus Roman No9 L" w:eastAsia="方正小标宋简体" w:cs="Nimbus Roman No9 L"/>
          <w:i w:val="0"/>
          <w:iCs w:val="0"/>
          <w:color w:val="auto"/>
          <w:sz w:val="44"/>
          <w:szCs w:val="44"/>
          <w:u w:val="none"/>
        </w:rPr>
        <w:t>天津市雏鹰</w:t>
      </w:r>
      <w:r>
        <w:rPr>
          <w:rFonts w:hint="eastAsia" w:ascii="Nimbus Roman No9 L" w:hAnsi="Nimbus Roman No9 L" w:eastAsia="方正小标宋简体" w:cs="Nimbus Roman No9 L"/>
          <w:i w:val="0"/>
          <w:iCs w:val="0"/>
          <w:color w:val="auto"/>
          <w:sz w:val="44"/>
          <w:szCs w:val="44"/>
          <w:u w:val="none"/>
          <w:lang w:eastAsia="zh-CN"/>
        </w:rPr>
        <w:t>企业、</w:t>
      </w:r>
      <w:r>
        <w:rPr>
          <w:rFonts w:hint="eastAsia" w:ascii="Nimbus Roman No9 L" w:hAnsi="Nimbus Roman No9 L" w:eastAsia="方正小标宋简体" w:cs="Nimbus Roman No9 L"/>
          <w:i w:val="0"/>
          <w:iCs w:val="0"/>
          <w:color w:val="auto"/>
          <w:sz w:val="44"/>
          <w:szCs w:val="44"/>
          <w:u w:val="none"/>
        </w:rPr>
        <w:t>瞪羚企业</w:t>
      </w:r>
      <w:r>
        <w:rPr>
          <w:rFonts w:hint="eastAsia" w:ascii="Nimbus Roman No9 L" w:hAnsi="Nimbus Roman No9 L" w:eastAsia="方正小标宋简体" w:cs="Nimbus Roman No9 L"/>
          <w:i w:val="0"/>
          <w:iCs w:val="0"/>
          <w:color w:val="auto"/>
          <w:sz w:val="44"/>
          <w:szCs w:val="44"/>
          <w:u w:val="none"/>
          <w:lang w:eastAsia="zh-CN"/>
        </w:rPr>
        <w:t>、</w:t>
      </w:r>
      <w:r>
        <w:rPr>
          <w:rFonts w:hint="eastAsia" w:ascii="Nimbus Roman No9 L" w:hAnsi="Nimbus Roman No9 L" w:eastAsia="方正小标宋简体" w:cs="Nimbus Roman No9 L"/>
          <w:i w:val="0"/>
          <w:iCs w:val="0"/>
          <w:color w:val="auto"/>
          <w:sz w:val="44"/>
          <w:szCs w:val="44"/>
          <w:u w:val="none"/>
          <w:lang w:val="en-US" w:eastAsia="zh-CN"/>
        </w:rPr>
        <w:t>科技领军企业</w:t>
      </w:r>
    </w:p>
    <w:p>
      <w:pPr>
        <w:keepNext w:val="0"/>
        <w:keepLines w:val="0"/>
        <w:pageBreakBefore w:val="0"/>
        <w:widowControl/>
        <w:kinsoku/>
        <w:wordWrap/>
        <w:overflowPunct/>
        <w:topLinePunct w:val="0"/>
        <w:autoSpaceDE/>
        <w:autoSpaceDN/>
        <w:bidi w:val="0"/>
        <w:adjustRightInd w:val="0"/>
        <w:snapToGrid w:val="0"/>
        <w:spacing w:line="680" w:lineRule="exact"/>
        <w:jc w:val="center"/>
        <w:textAlignment w:val="auto"/>
        <w:rPr>
          <w:rFonts w:hint="eastAsia" w:ascii="Nimbus Roman No9 L" w:hAnsi="Nimbus Roman No9 L" w:eastAsia="方正小标宋简体" w:cs="Nimbus Roman No9 L"/>
          <w:i w:val="0"/>
          <w:iCs w:val="0"/>
          <w:color w:val="auto"/>
          <w:sz w:val="44"/>
          <w:szCs w:val="44"/>
          <w:u w:val="none"/>
        </w:rPr>
      </w:pPr>
      <w:r>
        <w:rPr>
          <w:rFonts w:hint="eastAsia" w:ascii="Nimbus Roman No9 L" w:hAnsi="Nimbus Roman No9 L" w:eastAsia="方正小标宋简体" w:cs="Nimbus Roman No9 L"/>
          <w:i w:val="0"/>
          <w:iCs w:val="0"/>
          <w:color w:val="auto"/>
          <w:sz w:val="44"/>
          <w:szCs w:val="44"/>
          <w:u w:val="none"/>
          <w:lang w:val="en-US" w:eastAsia="zh-CN"/>
        </w:rPr>
        <w:t>和科技领军培育企业</w:t>
      </w:r>
      <w:r>
        <w:rPr>
          <w:rFonts w:hint="eastAsia" w:ascii="Nimbus Roman No9 L" w:hAnsi="Nimbus Roman No9 L" w:eastAsia="方正小标宋简体" w:cs="Nimbus Roman No9 L"/>
          <w:i w:val="0"/>
          <w:iCs w:val="0"/>
          <w:color w:val="auto"/>
          <w:sz w:val="44"/>
          <w:szCs w:val="44"/>
          <w:u w:val="none"/>
        </w:rPr>
        <w:t>评价</w:t>
      </w:r>
      <w:r>
        <w:rPr>
          <w:rFonts w:hint="eastAsia" w:ascii="Nimbus Roman No9 L" w:hAnsi="Nimbus Roman No9 L" w:eastAsia="方正小标宋简体" w:cs="Nimbus Roman No9 L"/>
          <w:i w:val="0"/>
          <w:iCs w:val="0"/>
          <w:color w:val="auto"/>
          <w:sz w:val="44"/>
          <w:szCs w:val="44"/>
          <w:u w:val="none"/>
          <w:lang w:eastAsia="zh-CN"/>
        </w:rPr>
        <w:t>与支持</w:t>
      </w:r>
      <w:r>
        <w:rPr>
          <w:rFonts w:hint="eastAsia" w:ascii="Nimbus Roman No9 L" w:hAnsi="Nimbus Roman No9 L" w:eastAsia="方正小标宋简体" w:cs="Nimbus Roman No9 L"/>
          <w:i w:val="0"/>
          <w:iCs w:val="0"/>
          <w:color w:val="auto"/>
          <w:sz w:val="44"/>
          <w:szCs w:val="44"/>
          <w:u w:val="none"/>
        </w:rPr>
        <w:t>办法</w:t>
      </w:r>
    </w:p>
    <w:p>
      <w:pPr>
        <w:pStyle w:val="14"/>
        <w:keepNext w:val="0"/>
        <w:keepLines w:val="0"/>
        <w:pageBreakBefore w:val="0"/>
        <w:tabs>
          <w:tab w:val="left" w:pos="1418"/>
        </w:tabs>
        <w:kinsoku/>
        <w:wordWrap/>
        <w:overflowPunct/>
        <w:topLinePunct w:val="0"/>
        <w:autoSpaceDE w:val="0"/>
        <w:autoSpaceDN w:val="0"/>
        <w:bidi w:val="0"/>
        <w:adjustRightInd w:val="0"/>
        <w:snapToGrid w:val="0"/>
        <w:spacing w:after="0" w:afterAutospacing="0" w:line="560" w:lineRule="exact"/>
        <w:ind w:firstLine="0" w:firstLineChars="0"/>
        <w:jc w:val="center"/>
        <w:textAlignment w:val="auto"/>
        <w:rPr>
          <w:rFonts w:hint="eastAsia" w:ascii="仿宋_GB2312" w:hAnsi="仿宋_GB2312" w:eastAsia="仿宋_GB2312" w:cs="仿宋_GB2312"/>
          <w:i w:val="0"/>
          <w:iCs w:val="0"/>
          <w:color w:val="auto"/>
          <w:sz w:val="32"/>
          <w:szCs w:val="32"/>
          <w:u w:val="none"/>
          <w:lang w:val="en-US" w:eastAsia="zh-CN"/>
        </w:rPr>
      </w:pPr>
      <w:r>
        <w:rPr>
          <w:rFonts w:hint="eastAsia" w:ascii="仿宋_GB2312" w:hAnsi="仿宋_GB2312" w:eastAsia="仿宋_GB2312" w:cs="仿宋_GB2312"/>
          <w:i w:val="0"/>
          <w:iCs w:val="0"/>
          <w:color w:val="auto"/>
          <w:sz w:val="32"/>
          <w:szCs w:val="32"/>
          <w:u w:val="none"/>
          <w:lang w:val="en-US" w:eastAsia="zh-CN"/>
        </w:rPr>
        <w:t xml:space="preserve"> </w:t>
      </w:r>
    </w:p>
    <w:p>
      <w:pPr>
        <w:keepNext w:val="0"/>
        <w:keepLines w:val="0"/>
        <w:pageBreakBefore w:val="0"/>
        <w:widowControl/>
        <w:kinsoku/>
        <w:wordWrap/>
        <w:overflowPunct/>
        <w:topLinePunct w:val="0"/>
        <w:autoSpaceDE/>
        <w:autoSpaceDN/>
        <w:bidi w:val="0"/>
        <w:snapToGrid w:val="0"/>
        <w:spacing w:afterAutospacing="0" w:line="560" w:lineRule="exact"/>
        <w:jc w:val="center"/>
        <w:textAlignment w:val="auto"/>
        <w:rPr>
          <w:rFonts w:hint="eastAsia" w:ascii="仿宋_GB2312" w:hAnsi="仿宋_GB2312" w:eastAsia="仿宋_GB2312" w:cs="仿宋_GB2312"/>
          <w:i w:val="0"/>
          <w:iCs w:val="0"/>
          <w:color w:val="auto"/>
          <w:sz w:val="32"/>
          <w:szCs w:val="32"/>
          <w:u w:val="none"/>
        </w:rPr>
      </w:pPr>
      <w:r>
        <w:rPr>
          <w:rFonts w:hint="eastAsia" w:ascii="黑体" w:hAnsi="黑体" w:eastAsia="黑体" w:cs="黑体"/>
          <w:i w:val="0"/>
          <w:iCs w:val="0"/>
          <w:color w:val="auto"/>
          <w:sz w:val="32"/>
          <w:szCs w:val="32"/>
          <w:u w:val="none"/>
        </w:rPr>
        <w:t>第一章  总则</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auto"/>
          <w:sz w:val="32"/>
          <w:szCs w:val="32"/>
          <w:u w:val="non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为贯彻落实全市新动能引育工作部署和《天津市科技创新三年行动计划（2020—2022年）》（津政发〔2020〕23号），进一步加快全市科技创新发展，发挥企业技术创新主体作用，推动创新要素向企业集聚，支撑引领全市高质量发展，制定本办法。</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本办法所称的雏鹰企业是指具有较强的创新能力，未来具有较高的发展潜力，按照本办法通过评价入库的初创企业；瞪羚企业是指以科技创新或商业模式创新为支撑进入高成长期，按照本办法通过评价入库的创新型企业；科技领军企业和科技领军培育企业是指具备引领行业变革能力并受到市场认可，按照本办法通过评价入库的高质量创新型企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重点支持智能科技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生物医药、新能源、新材料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装备制造、汽车、石油化工、航空航天</w:t>
      </w:r>
      <w:r>
        <w:rPr>
          <w:rFonts w:hint="eastAsia" w:ascii="仿宋_GB2312" w:hAnsi="仿宋_GB2312" w:eastAsia="仿宋_GB2312" w:cs="仿宋_GB2312"/>
          <w:sz w:val="32"/>
          <w:szCs w:val="32"/>
          <w:lang w:eastAsia="zh-CN"/>
        </w:rPr>
        <w:t>、现代</w:t>
      </w:r>
      <w:r>
        <w:rPr>
          <w:rFonts w:hint="eastAsia" w:ascii="仿宋_GB2312" w:hAnsi="仿宋_GB2312" w:eastAsia="仿宋_GB2312" w:cs="仿宋_GB2312"/>
          <w:sz w:val="32"/>
          <w:szCs w:val="32"/>
        </w:rPr>
        <w:t>冶金、</w:t>
      </w:r>
      <w:r>
        <w:rPr>
          <w:rFonts w:hint="eastAsia" w:ascii="仿宋_GB2312" w:hAnsi="仿宋_GB2312" w:eastAsia="仿宋_GB2312" w:cs="仿宋_GB2312"/>
          <w:sz w:val="32"/>
          <w:szCs w:val="32"/>
          <w:lang w:eastAsia="zh-CN"/>
        </w:rPr>
        <w:t>现代</w:t>
      </w:r>
      <w:r>
        <w:rPr>
          <w:rFonts w:hint="eastAsia" w:ascii="仿宋_GB2312" w:hAnsi="仿宋_GB2312" w:eastAsia="仿宋_GB2312" w:cs="仿宋_GB2312"/>
          <w:sz w:val="32"/>
          <w:szCs w:val="32"/>
        </w:rPr>
        <w:t>轻纺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现代工业产业</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科技金融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科技服务业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现代都市型农业</w:t>
      </w:r>
      <w:r>
        <w:rPr>
          <w:rFonts w:hint="eastAsia" w:ascii="仿宋_GB2312" w:hAnsi="仿宋_GB2312" w:eastAsia="仿宋_GB2312" w:cs="仿宋_GB2312"/>
          <w:sz w:val="32"/>
          <w:szCs w:val="32"/>
          <w:lang w:eastAsia="zh-CN"/>
        </w:rPr>
        <w:t>等产业（领域）的企业。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天津市</w:t>
      </w:r>
      <w:r>
        <w:rPr>
          <w:rFonts w:hint="eastAsia" w:ascii="仿宋_GB2312" w:hAnsi="仿宋_GB2312" w:eastAsia="仿宋_GB2312" w:cs="仿宋_GB2312"/>
          <w:sz w:val="32"/>
          <w:szCs w:val="32"/>
          <w:lang w:val="en"/>
        </w:rPr>
        <w:t>雏鹰企业、瞪羚企业、科技领军企业和</w:t>
      </w:r>
      <w:r>
        <w:rPr>
          <w:rFonts w:hint="eastAsia" w:ascii="仿宋_GB2312" w:hAnsi="仿宋_GB2312" w:eastAsia="仿宋_GB2312" w:cs="仿宋_GB2312"/>
          <w:sz w:val="32"/>
          <w:szCs w:val="32"/>
          <w:lang w:val="en" w:eastAsia="zh-CN"/>
        </w:rPr>
        <w:t>科技</w:t>
      </w:r>
      <w:r>
        <w:rPr>
          <w:rFonts w:hint="eastAsia" w:ascii="仿宋_GB2312" w:hAnsi="仿宋_GB2312" w:eastAsia="仿宋_GB2312" w:cs="仿宋_GB2312"/>
          <w:sz w:val="32"/>
          <w:szCs w:val="32"/>
          <w:lang w:val="en"/>
        </w:rPr>
        <w:t>领军培育企业</w:t>
      </w:r>
      <w:r>
        <w:rPr>
          <w:rFonts w:hint="eastAsia" w:ascii="仿宋_GB2312" w:hAnsi="仿宋_GB2312" w:eastAsia="仿宋_GB2312" w:cs="仿宋_GB2312"/>
          <w:sz w:val="32"/>
          <w:szCs w:val="32"/>
        </w:rPr>
        <w:t>评价工作采取企业自主评价、各区科技行政管理部门</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lang w:val="en-US" w:eastAsia="zh-CN"/>
        </w:rPr>
        <w:t>展</w:t>
      </w:r>
      <w:r>
        <w:rPr>
          <w:rFonts w:hint="eastAsia" w:ascii="仿宋_GB2312" w:hAnsi="仿宋_GB2312" w:eastAsia="仿宋_GB2312" w:cs="仿宋_GB2312"/>
          <w:sz w:val="32"/>
          <w:szCs w:val="32"/>
          <w:lang w:eastAsia="zh-CN"/>
        </w:rPr>
        <w:t>形式审查</w:t>
      </w:r>
      <w:r>
        <w:rPr>
          <w:rFonts w:hint="eastAsia" w:ascii="仿宋_GB2312" w:hAnsi="仿宋_GB2312" w:eastAsia="仿宋_GB2312" w:cs="仿宋_GB2312"/>
          <w:sz w:val="32"/>
          <w:szCs w:val="32"/>
        </w:rPr>
        <w:t>、市科技局</w:t>
      </w:r>
      <w:r>
        <w:rPr>
          <w:rFonts w:hint="eastAsia" w:ascii="仿宋_GB2312" w:hAnsi="仿宋_GB2312" w:eastAsia="仿宋_GB2312" w:cs="仿宋_GB2312"/>
          <w:sz w:val="32"/>
          <w:szCs w:val="32"/>
          <w:lang w:eastAsia="zh-CN"/>
        </w:rPr>
        <w:t>委托</w:t>
      </w:r>
      <w:r>
        <w:rPr>
          <w:rFonts w:hint="eastAsia" w:ascii="仿宋_GB2312" w:hAnsi="仿宋_GB2312" w:eastAsia="仿宋_GB2312" w:cs="仿宋_GB2312"/>
          <w:sz w:val="32"/>
          <w:szCs w:val="32"/>
          <w:lang w:val="en-US" w:eastAsia="zh-CN"/>
        </w:rPr>
        <w:t>第三方机构开展审核</w:t>
      </w:r>
      <w:r>
        <w:rPr>
          <w:rFonts w:hint="eastAsia" w:ascii="仿宋_GB2312" w:hAnsi="仿宋_GB2312" w:eastAsia="仿宋_GB2312" w:cs="仿宋_GB2312"/>
          <w:sz w:val="32"/>
          <w:szCs w:val="32"/>
        </w:rPr>
        <w:t>的工作模式，坚持服务引领、放管结合、公开透明的原则。</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napToGrid w:val="0"/>
        <w:spacing w:afterAutospacing="0"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iCs w:val="0"/>
          <w:color w:val="auto"/>
          <w:sz w:val="32"/>
          <w:szCs w:val="32"/>
          <w:u w:val="none"/>
        </w:rPr>
        <w:t>第二章  申报条件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申报评价为天津市雏鹰企业应满足以下条件：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（一）天津市注册，具有独立法人资格的企业，</w:t>
      </w:r>
      <w:r>
        <w:rPr>
          <w:rFonts w:hint="eastAsia" w:ascii="仿宋_GB2312" w:hAnsi="仿宋_GB2312" w:eastAsia="仿宋_GB2312" w:cs="仿宋_GB2312"/>
          <w:sz w:val="32"/>
          <w:szCs w:val="32"/>
          <w:lang w:val="en-US" w:eastAsia="zh-CN"/>
        </w:rPr>
        <w:t>注册时间8年以内（但不含申报评价当年注册的企业，按截至上一年的12月3</w:t>
      </w:r>
      <w:r>
        <w:rPr>
          <w:rFonts w:hint="eastAsia" w:ascii="仿宋_GB2312" w:hAnsi="仿宋_GB2312" w:eastAsia="仿宋_GB2312" w:cs="仿宋_GB2312"/>
          <w:sz w:val="32"/>
          <w:szCs w:val="32"/>
        </w:rPr>
        <w:t>1日计算）；</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（二）企业在申报当年及上一年未发生科研严重失信行为，且企业未列入经营异常名录和严重违法失信企业名单；</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（三）企业上一年营业收入</w:t>
      </w:r>
      <w:r>
        <w:rPr>
          <w:rFonts w:hint="eastAsia" w:ascii="仿宋_GB2312" w:hAnsi="仿宋_GB2312" w:eastAsia="仿宋_GB2312" w:cs="仿宋_GB2312"/>
          <w:sz w:val="32"/>
          <w:szCs w:val="32"/>
          <w:lang w:val="en-US" w:eastAsia="zh-CN"/>
        </w:rPr>
        <w:t>不低于</w:t>
      </w:r>
      <w:r>
        <w:rPr>
          <w:rFonts w:hint="eastAsia" w:ascii="仿宋_GB2312" w:hAnsi="仿宋_GB2312" w:eastAsia="仿宋_GB2312" w:cs="仿宋_GB2312"/>
          <w:sz w:val="32"/>
          <w:szCs w:val="32"/>
          <w:lang w:val="en" w:eastAsia="zh-CN"/>
        </w:rPr>
        <w:t>10</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除</w:t>
      </w:r>
      <w:r>
        <w:rPr>
          <w:rFonts w:hint="eastAsia" w:ascii="仿宋_GB2312" w:hAnsi="仿宋_GB2312" w:eastAsia="仿宋_GB2312" w:cs="仿宋_GB2312"/>
          <w:sz w:val="32"/>
          <w:szCs w:val="32"/>
        </w:rPr>
        <w:t>满足以上条件</w:t>
      </w:r>
      <w:r>
        <w:rPr>
          <w:rFonts w:hint="eastAsia" w:ascii="仿宋_GB2312" w:hAnsi="仿宋_GB2312" w:eastAsia="仿宋_GB2312" w:cs="仿宋_GB2312"/>
          <w:sz w:val="32"/>
          <w:szCs w:val="32"/>
          <w:lang w:eastAsia="zh-CN"/>
        </w:rPr>
        <w:t>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还应</w:t>
      </w:r>
      <w:r>
        <w:rPr>
          <w:rFonts w:hint="eastAsia" w:ascii="仿宋_GB2312" w:hAnsi="仿宋_GB2312" w:eastAsia="仿宋_GB2312" w:cs="仿宋_GB2312"/>
          <w:sz w:val="32"/>
          <w:szCs w:val="32"/>
        </w:rPr>
        <w:t>达到以下</w:t>
      </w:r>
      <w:r>
        <w:rPr>
          <w:rFonts w:hint="eastAsia" w:ascii="仿宋_GB2312" w:hAnsi="仿宋_GB2312" w:eastAsia="仿宋_GB2312" w:cs="仿宋_GB2312"/>
          <w:sz w:val="32"/>
          <w:szCs w:val="32"/>
          <w:lang w:eastAsia="zh-CN"/>
        </w:rPr>
        <w:t>任一</w:t>
      </w:r>
      <w:r>
        <w:rPr>
          <w:rFonts w:hint="eastAsia" w:ascii="仿宋_GB2312" w:hAnsi="仿宋_GB2312" w:eastAsia="仿宋_GB2312" w:cs="仿宋_GB2312"/>
          <w:sz w:val="32"/>
          <w:szCs w:val="32"/>
        </w:rPr>
        <w:t>条件：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1.企业拥有有效期内的1项（含）以上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ROMAN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I</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类知识产权或2项（含）以上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ROMAN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II</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类知识产权；</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2.企业拥有有效期内的软件企业证书和软件产品证书；</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3.企业获得国家级创新创业大赛决赛优秀奖（含）以上名次，或获得省级创新创业大赛决赛三等奖（含）以上名次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且企业拥有有效期内的1项（含）以上知识产权；</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4.企业拥有有效期内的国家高新技术企业资格证书或天津市高新技术企业资格证书</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5.企业获得</w:t>
      </w:r>
      <w:r>
        <w:rPr>
          <w:rFonts w:hint="eastAsia" w:ascii="仿宋_GB2312" w:hAnsi="仿宋_GB2312" w:eastAsia="仿宋_GB2312" w:cs="仿宋_GB2312"/>
          <w:sz w:val="32"/>
          <w:szCs w:val="32"/>
          <w:lang w:eastAsia="zh-CN"/>
        </w:rPr>
        <w:t>过</w:t>
      </w:r>
      <w:r>
        <w:rPr>
          <w:rFonts w:hint="eastAsia" w:ascii="仿宋_GB2312" w:hAnsi="仿宋_GB2312" w:eastAsia="仿宋_GB2312" w:cs="仿宋_GB2312"/>
          <w:sz w:val="32"/>
          <w:szCs w:val="32"/>
        </w:rPr>
        <w:t>国家级或省部级科技奖励；</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6.企业拥有经认定的国家级或省部级研发机构；</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7.企业参加制定过国际标准、国家标准、行业标准、地方标准、团体标准或企业标准；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8.企业</w:t>
      </w:r>
      <w:r>
        <w:rPr>
          <w:rFonts w:hint="eastAsia" w:ascii="仿宋_GB2312" w:hAnsi="仿宋_GB2312" w:eastAsia="仿宋_GB2312" w:cs="仿宋_GB2312"/>
          <w:sz w:val="32"/>
          <w:szCs w:val="32"/>
          <w:lang w:eastAsia="zh-CN"/>
        </w:rPr>
        <w:t>曾单笔获得一家投资机构的</w:t>
      </w:r>
      <w:r>
        <w:rPr>
          <w:rFonts w:hint="eastAsia" w:ascii="仿宋_GB2312" w:hAnsi="仿宋_GB2312" w:eastAsia="仿宋_GB2312" w:cs="仿宋_GB2312"/>
          <w:sz w:val="32"/>
          <w:szCs w:val="32"/>
          <w:lang w:val="en"/>
        </w:rPr>
        <w:t>创业投资</w:t>
      </w:r>
      <w:r>
        <w:rPr>
          <w:rFonts w:hint="eastAsia" w:ascii="仿宋_GB2312" w:hAnsi="仿宋_GB2312" w:eastAsia="仿宋_GB2312" w:cs="仿宋_GB2312"/>
          <w:sz w:val="32"/>
          <w:szCs w:val="32"/>
          <w:lang w:eastAsia="zh-CN"/>
        </w:rPr>
        <w:t>（以下简称单笔单家</w:t>
      </w:r>
      <w:r>
        <w:rPr>
          <w:rFonts w:hint="eastAsia" w:ascii="仿宋_GB2312" w:hAnsi="仿宋_GB2312" w:eastAsia="仿宋_GB2312" w:cs="仿宋_GB2312"/>
          <w:sz w:val="32"/>
          <w:szCs w:val="32"/>
          <w:lang w:val="en" w:eastAsia="zh-CN"/>
        </w:rPr>
        <w:t>创业投资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100万元（含）</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9.企业获得</w:t>
      </w:r>
      <w:r>
        <w:rPr>
          <w:rFonts w:hint="eastAsia" w:ascii="仿宋_GB2312" w:hAnsi="仿宋_GB2312" w:eastAsia="仿宋_GB2312" w:cs="仿宋_GB2312"/>
          <w:sz w:val="32"/>
          <w:szCs w:val="32"/>
          <w:lang w:eastAsia="zh-CN"/>
        </w:rPr>
        <w:t>过</w:t>
      </w:r>
      <w:r>
        <w:rPr>
          <w:rFonts w:hint="eastAsia" w:ascii="仿宋_GB2312" w:hAnsi="仿宋_GB2312" w:eastAsia="仿宋_GB2312" w:cs="仿宋_GB2312"/>
          <w:sz w:val="32"/>
          <w:szCs w:val="32"/>
        </w:rPr>
        <w:t>国家级或省部级科技计划项目（课题）立项。</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申报评价为天津市瞪羚企业应满足以下条件：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（一）天津市注册，具有独立法人资格的企业；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（二）企业在申报当年及上一年未发生科研严重失信行为，且企业未列入经营异常名录和严重违法失信企业名单；</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w:t>
      </w:r>
      <w:r>
        <w:rPr>
          <w:rFonts w:hint="eastAsia" w:ascii="仿宋_GB2312" w:hAnsi="仿宋_GB2312" w:eastAsia="仿宋_GB2312" w:cs="仿宋_GB2312"/>
          <w:sz w:val="32"/>
          <w:szCs w:val="32"/>
          <w:lang w:eastAsia="zh-CN"/>
        </w:rPr>
        <w:t>近四年</w:t>
      </w:r>
      <w:r>
        <w:rPr>
          <w:rFonts w:hint="eastAsia" w:ascii="仿宋_GB2312" w:hAnsi="仿宋_GB2312" w:eastAsia="仿宋_GB2312" w:cs="仿宋_GB2312"/>
          <w:sz w:val="32"/>
          <w:szCs w:val="32"/>
        </w:rPr>
        <w:t>平均科学研究与试验发展投入强度（即研发经费占营业收入的比例）不低于2.5%</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注册时间不足四年的，根据实际投入年份数据计算。</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除</w:t>
      </w:r>
      <w:r>
        <w:rPr>
          <w:rFonts w:hint="eastAsia" w:ascii="仿宋_GB2312" w:hAnsi="仿宋_GB2312" w:eastAsia="仿宋_GB2312" w:cs="仿宋_GB2312"/>
          <w:sz w:val="32"/>
          <w:szCs w:val="32"/>
        </w:rPr>
        <w:t>满足以上条件</w:t>
      </w:r>
      <w:r>
        <w:rPr>
          <w:rFonts w:hint="eastAsia" w:ascii="仿宋_GB2312" w:hAnsi="仿宋_GB2312" w:eastAsia="仿宋_GB2312" w:cs="仿宋_GB2312"/>
          <w:sz w:val="32"/>
          <w:szCs w:val="32"/>
          <w:lang w:eastAsia="zh-CN"/>
        </w:rPr>
        <w:t>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还应</w:t>
      </w:r>
      <w:r>
        <w:rPr>
          <w:rFonts w:hint="eastAsia" w:ascii="仿宋_GB2312" w:hAnsi="仿宋_GB2312" w:eastAsia="仿宋_GB2312" w:cs="仿宋_GB2312"/>
          <w:sz w:val="32"/>
          <w:szCs w:val="32"/>
        </w:rPr>
        <w:t>达到以下</w:t>
      </w:r>
      <w:r>
        <w:rPr>
          <w:rFonts w:hint="eastAsia" w:ascii="仿宋_GB2312" w:hAnsi="仿宋_GB2312" w:eastAsia="仿宋_GB2312" w:cs="仿宋_GB2312"/>
          <w:sz w:val="32"/>
          <w:szCs w:val="32"/>
          <w:lang w:eastAsia="zh-CN"/>
        </w:rPr>
        <w:t>任一</w:t>
      </w:r>
      <w:r>
        <w:rPr>
          <w:rFonts w:hint="eastAsia" w:ascii="仿宋_GB2312" w:hAnsi="仿宋_GB2312" w:eastAsia="仿宋_GB2312" w:cs="仿宋_GB2312"/>
          <w:sz w:val="32"/>
          <w:szCs w:val="32"/>
        </w:rPr>
        <w:t>条件：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1.企业注册时间</w:t>
      </w:r>
      <w:r>
        <w:rPr>
          <w:rFonts w:hint="eastAsia" w:ascii="仿宋_GB2312" w:hAnsi="仿宋_GB2312" w:eastAsia="仿宋_GB2312" w:cs="仿宋_GB2312"/>
          <w:sz w:val="32"/>
          <w:szCs w:val="32"/>
          <w:lang w:val="en-US" w:eastAsia="zh-CN"/>
        </w:rPr>
        <w:t>3年（不含）以上20年</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以内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按截至上一年12月3</w:t>
      </w:r>
      <w:r>
        <w:rPr>
          <w:rFonts w:hint="eastAsia" w:ascii="仿宋_GB2312" w:hAnsi="仿宋_GB2312" w:eastAsia="仿宋_GB2312" w:cs="仿宋_GB2312"/>
          <w:sz w:val="32"/>
          <w:szCs w:val="32"/>
        </w:rPr>
        <w:t>1日计算</w:t>
      </w:r>
      <w:r>
        <w:rPr>
          <w:rFonts w:hint="eastAsia" w:ascii="仿宋_GB2312" w:hAnsi="仿宋_GB2312" w:eastAsia="仿宋_GB2312" w:cs="仿宋_GB2312"/>
          <w:sz w:val="32"/>
          <w:szCs w:val="32"/>
          <w:lang w:eastAsia="zh-CN"/>
        </w:rPr>
        <w:t>，以下同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，申报评价当年往前的第四个年度（以下简称基期）营业收入不低于1000万元</w:t>
      </w:r>
      <w:r>
        <w:rPr>
          <w:rFonts w:hint="eastAsia" w:ascii="仿宋_GB2312" w:hAnsi="仿宋_GB2312" w:eastAsia="仿宋_GB2312" w:cs="仿宋_GB2312"/>
          <w:sz w:val="32"/>
          <w:szCs w:val="32"/>
        </w:rPr>
        <w:t>，基期至上一年度营业收入复合增长率不低于20%，且上一年度营业收入正增长；</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2.企业注册时间</w:t>
      </w:r>
      <w:r>
        <w:rPr>
          <w:rFonts w:hint="eastAsia" w:ascii="仿宋_GB2312" w:hAnsi="仿宋_GB2312" w:eastAsia="仿宋_GB2312" w:cs="仿宋_GB2312"/>
          <w:sz w:val="32"/>
          <w:szCs w:val="32"/>
          <w:lang w:val="en-US" w:eastAsia="zh-CN"/>
        </w:rPr>
        <w:t>3年（不含）以上20年</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以内，基期企业职工总数不低于100人，基期至上一年度企业职工总数复合增长率不低于30%，且上一年度营业收入正增长；</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.企业注册时间5年（含）以内，上一年度营业收入不低于5亿元，且上一年度营业收入正增长；</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.企业注册时间10年（含）以内，上一年度营业收入不低于10亿元，且上一年度营业收入正增长；</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.企业注册时间</w:t>
      </w:r>
      <w:r>
        <w:rPr>
          <w:rFonts w:hint="eastAsia" w:ascii="仿宋_GB2312" w:hAnsi="仿宋_GB2312" w:eastAsia="仿宋_GB2312" w:cs="仿宋_GB2312"/>
          <w:sz w:val="32"/>
          <w:szCs w:val="32"/>
          <w:lang w:val="en-US" w:eastAsia="zh-CN"/>
        </w:rPr>
        <w:t>20年</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以内，</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曾获得单笔单家</w:t>
      </w:r>
      <w:r>
        <w:rPr>
          <w:rFonts w:hint="eastAsia" w:ascii="仿宋_GB2312" w:hAnsi="仿宋_GB2312" w:eastAsia="仿宋_GB2312" w:cs="仿宋_GB2312"/>
          <w:sz w:val="32"/>
          <w:szCs w:val="32"/>
          <w:lang w:val="en" w:eastAsia="zh-CN"/>
        </w:rPr>
        <w:t>创业投资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00万元（含）</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申报评价为天津市科技领军企业和</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领军培育企业应满足以下条件：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（一）天津市注册，具有独立法人资格的企业；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（二）企业在申报当年及上一年未发生科研严重失信行为，且企业未列入经营异常名录和严重违法失信企业名单；</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（三）企业</w:t>
      </w:r>
      <w:r>
        <w:rPr>
          <w:rFonts w:hint="eastAsia" w:ascii="仿宋_GB2312" w:hAnsi="仿宋_GB2312" w:eastAsia="仿宋_GB2312" w:cs="仿宋_GB2312"/>
          <w:sz w:val="32"/>
          <w:szCs w:val="32"/>
          <w:lang w:eastAsia="zh-CN"/>
        </w:rPr>
        <w:t>上一年度</w:t>
      </w:r>
      <w:r>
        <w:rPr>
          <w:rFonts w:hint="eastAsia" w:ascii="仿宋_GB2312" w:hAnsi="仿宋_GB2312" w:eastAsia="仿宋_GB2312" w:cs="仿宋_GB2312"/>
          <w:sz w:val="32"/>
          <w:szCs w:val="32"/>
        </w:rPr>
        <w:t>科学研究与试验发展投入强度（即研发经费占营业收入的比例）不低于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申报科技领军培育企业</w:t>
      </w:r>
      <w:r>
        <w:rPr>
          <w:rFonts w:hint="eastAsia" w:ascii="仿宋_GB2312" w:hAnsi="仿宋_GB2312" w:eastAsia="仿宋_GB2312" w:cs="仿宋_GB2312"/>
          <w:sz w:val="32"/>
          <w:szCs w:val="32"/>
          <w:lang w:eastAsia="zh-CN"/>
        </w:rPr>
        <w:t>评价，企业</w:t>
      </w:r>
      <w:r>
        <w:rPr>
          <w:rFonts w:hint="eastAsia" w:ascii="仿宋_GB2312" w:hAnsi="仿宋_GB2312" w:eastAsia="仿宋_GB2312" w:cs="仿宋_GB2312"/>
          <w:sz w:val="32"/>
          <w:szCs w:val="32"/>
        </w:rPr>
        <w:t>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营业收入</w:t>
      </w:r>
      <w:r>
        <w:rPr>
          <w:rFonts w:hint="eastAsia" w:ascii="仿宋_GB2312" w:hAnsi="仿宋_GB2312" w:eastAsia="仿宋_GB2312" w:cs="仿宋_GB2312"/>
          <w:sz w:val="32"/>
          <w:szCs w:val="32"/>
          <w:lang w:eastAsia="zh-CN"/>
        </w:rPr>
        <w:t>不低于</w:t>
      </w:r>
      <w:r>
        <w:rPr>
          <w:rFonts w:hint="eastAsia" w:ascii="仿宋_GB2312" w:hAnsi="仿宋_GB2312" w:eastAsia="仿宋_GB2312" w:cs="仿宋_GB2312"/>
          <w:sz w:val="32"/>
          <w:szCs w:val="32"/>
        </w:rPr>
        <w:t>2亿元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申报科技领军企业</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上</w:t>
      </w:r>
      <w:r>
        <w:rPr>
          <w:rFonts w:hint="eastAsia" w:ascii="仿宋_GB2312" w:hAnsi="仿宋_GB2312" w:eastAsia="仿宋_GB2312" w:cs="仿宋_GB2312"/>
          <w:sz w:val="32"/>
          <w:szCs w:val="32"/>
          <w:lang w:eastAsia="zh-CN"/>
        </w:rPr>
        <w:t>一年度</w:t>
      </w:r>
      <w:r>
        <w:rPr>
          <w:rFonts w:hint="eastAsia" w:ascii="仿宋_GB2312" w:hAnsi="仿宋_GB2312" w:eastAsia="仿宋_GB2312" w:cs="仿宋_GB2312"/>
          <w:sz w:val="32"/>
          <w:szCs w:val="32"/>
        </w:rPr>
        <w:t>营业收入</w:t>
      </w:r>
      <w:r>
        <w:rPr>
          <w:rFonts w:hint="eastAsia" w:ascii="仿宋_GB2312" w:hAnsi="仿宋_GB2312" w:eastAsia="仿宋_GB2312" w:cs="仿宋_GB2312"/>
          <w:sz w:val="32"/>
          <w:szCs w:val="32"/>
          <w:lang w:eastAsia="zh-CN"/>
        </w:rPr>
        <w:t>不低于</w:t>
      </w:r>
      <w:r>
        <w:rPr>
          <w:rFonts w:hint="eastAsia" w:ascii="仿宋_GB2312" w:hAnsi="仿宋_GB2312" w:eastAsia="仿宋_GB2312" w:cs="仿宋_GB2312"/>
          <w:sz w:val="32"/>
          <w:szCs w:val="32"/>
        </w:rPr>
        <w:t>5亿元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企业近三年营业收入平均增长率</w:t>
      </w:r>
      <w:r>
        <w:rPr>
          <w:rFonts w:hint="eastAsia" w:ascii="仿宋_GB2312" w:hAnsi="仿宋_GB2312" w:eastAsia="仿宋_GB2312" w:cs="仿宋_GB2312"/>
          <w:sz w:val="32"/>
          <w:szCs w:val="32"/>
          <w:lang w:eastAsia="zh-CN"/>
        </w:rPr>
        <w:t>不能为负数</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上一年</w:t>
      </w:r>
      <w:r>
        <w:rPr>
          <w:rFonts w:hint="eastAsia" w:ascii="仿宋_GB2312" w:hAnsi="仿宋_GB2312" w:eastAsia="仿宋_GB2312" w:cs="仿宋_GB2312"/>
          <w:sz w:val="32"/>
          <w:szCs w:val="32"/>
          <w:lang w:val="en" w:eastAsia="zh-CN"/>
        </w:rPr>
        <w:t>度</w:t>
      </w:r>
      <w:r>
        <w:rPr>
          <w:rFonts w:hint="eastAsia" w:ascii="仿宋_GB2312" w:hAnsi="仿宋_GB2312" w:eastAsia="仿宋_GB2312" w:cs="仿宋_GB2312"/>
          <w:sz w:val="32"/>
          <w:szCs w:val="32"/>
        </w:rPr>
        <w:t>营业收入÷前第二年度营业收入＋前第二年度营业收入÷</w:t>
      </w:r>
      <w:r>
        <w:rPr>
          <w:rFonts w:hint="eastAsia" w:ascii="仿宋_GB2312" w:hAnsi="仿宋_GB2312" w:eastAsia="仿宋_GB2312" w:cs="仿宋_GB2312"/>
          <w:sz w:val="32"/>
          <w:szCs w:val="32"/>
          <w:lang w:val="en" w:eastAsia="zh-CN"/>
        </w:rPr>
        <w:t>前第三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
        </w:rPr>
        <w:t>度</w:t>
      </w:r>
      <w:r>
        <w:rPr>
          <w:rFonts w:hint="eastAsia" w:ascii="仿宋_GB2312" w:hAnsi="仿宋_GB2312" w:eastAsia="仿宋_GB2312" w:cs="仿宋_GB2312"/>
          <w:sz w:val="32"/>
          <w:szCs w:val="32"/>
        </w:rPr>
        <w:t>营业收入）÷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注册时间不足</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年的按实际年限计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（六）申报科技领军培育企业评价，企业拥有有效期内的15项（含）以上知识产权或3项（含）以上</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ROMAN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I</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类知识产权；申报科技领军企业评价，企业拥有有效期内的</w:t>
      </w: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0项（含）以上知识产权或5项（含）以上</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ROMAN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I</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类知识产权。</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天津市</w:t>
      </w:r>
      <w:r>
        <w:rPr>
          <w:rFonts w:hint="eastAsia" w:ascii="仿宋_GB2312" w:hAnsi="仿宋_GB2312" w:eastAsia="仿宋_GB2312" w:cs="仿宋_GB2312"/>
          <w:sz w:val="32"/>
          <w:szCs w:val="32"/>
          <w:lang w:val="en" w:eastAsia="zh-CN"/>
        </w:rPr>
        <w:t>雏鹰企业、瞪羚企业、科技领军企业和科技领军培育企业</w:t>
      </w:r>
      <w:r>
        <w:rPr>
          <w:rFonts w:hint="eastAsia" w:ascii="仿宋_GB2312" w:hAnsi="仿宋_GB2312" w:eastAsia="仿宋_GB2312" w:cs="仿宋_GB2312"/>
          <w:sz w:val="32"/>
          <w:szCs w:val="32"/>
          <w:lang w:val="en-US" w:eastAsia="zh-CN"/>
        </w:rPr>
        <w:t>评价指标的说明。</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（一）营业收入</w:t>
      </w:r>
      <w:r>
        <w:rPr>
          <w:rFonts w:hint="eastAsia" w:ascii="仿宋_GB2312" w:hAnsi="仿宋_GB2312" w:eastAsia="仿宋_GB2312" w:cs="仿宋_GB2312"/>
          <w:sz w:val="32"/>
          <w:szCs w:val="32"/>
          <w:lang w:eastAsia="zh-CN"/>
        </w:rPr>
        <w:t>、营业成本、利润等以</w:t>
      </w:r>
      <w:r>
        <w:rPr>
          <w:rFonts w:hint="eastAsia" w:ascii="仿宋_GB2312" w:hAnsi="仿宋_GB2312" w:eastAsia="仿宋_GB2312" w:cs="仿宋_GB2312"/>
          <w:sz w:val="32"/>
          <w:szCs w:val="32"/>
        </w:rPr>
        <w:t>企业纳税数据为准。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（二）企业职工总数为企业在职人员总数，以企业职工社会保险缴纳证明作为判定依据。</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（三）平均科学研究与试验发展投入强度指企业参与申报评价当年之前的</w:t>
      </w:r>
      <w:r>
        <w:rPr>
          <w:rFonts w:hint="eastAsia" w:ascii="仿宋_GB2312" w:hAnsi="仿宋_GB2312" w:eastAsia="仿宋_GB2312" w:cs="仿宋_GB2312"/>
          <w:sz w:val="32"/>
          <w:szCs w:val="32"/>
          <w:lang w:eastAsia="zh-CN"/>
        </w:rPr>
        <w:t>若干</w:t>
      </w:r>
      <w:r>
        <w:rPr>
          <w:rFonts w:hint="eastAsia" w:ascii="仿宋_GB2312" w:hAnsi="仿宋_GB2312" w:eastAsia="仿宋_GB2312" w:cs="仿宋_GB2312"/>
          <w:sz w:val="32"/>
          <w:szCs w:val="32"/>
        </w:rPr>
        <w:t>年度研发经费之和占</w:t>
      </w:r>
      <w:r>
        <w:rPr>
          <w:rFonts w:hint="eastAsia" w:ascii="仿宋_GB2312" w:hAnsi="仿宋_GB2312" w:eastAsia="仿宋_GB2312" w:cs="仿宋_GB2312"/>
          <w:sz w:val="32"/>
          <w:szCs w:val="32"/>
          <w:lang w:eastAsia="zh-CN"/>
        </w:rPr>
        <w:t>同期</w:t>
      </w:r>
      <w:r>
        <w:rPr>
          <w:rFonts w:hint="eastAsia" w:ascii="仿宋_GB2312" w:hAnsi="仿宋_GB2312" w:eastAsia="仿宋_GB2312" w:cs="仿宋_GB2312"/>
          <w:sz w:val="32"/>
          <w:szCs w:val="32"/>
        </w:rPr>
        <w:t>营业收入之和的百分比。</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（四）企业研发经费是指企业研发活动中发生的相关费用，具体按照财政部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国家税务总局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科技部</w:t>
      </w:r>
      <w:r>
        <w:rPr>
          <w:rFonts w:hint="eastAsia" w:ascii="仿宋_GB2312" w:hAnsi="仿宋_GB2312" w:eastAsia="仿宋_GB2312" w:cs="仿宋_GB2312"/>
          <w:sz w:val="32"/>
          <w:szCs w:val="32"/>
          <w:lang w:eastAsia="zh-CN"/>
        </w:rPr>
        <w:t>等部门关于研发费用税前加计扣除相关政策</w:t>
      </w:r>
      <w:r>
        <w:rPr>
          <w:rFonts w:hint="eastAsia" w:ascii="仿宋_GB2312" w:hAnsi="仿宋_GB2312" w:eastAsia="仿宋_GB2312" w:cs="仿宋_GB2312"/>
          <w:sz w:val="32"/>
          <w:szCs w:val="32"/>
        </w:rPr>
        <w:t>进行归集。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（五）知识产权采用分类评价，其中：发明专利、植物新品种、国家级农作物品种、国家新药、国家一级中药保护品种、集成电路布图设计专有权按</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ROMAN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I</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类评价；实用新型专利、外观设计专利、软件著作权按</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ROMAN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II</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类评价。国家级水产新品种、Ⅲ类医疗器械注册、批准有效药物临床试验参照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ROMAN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I</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类知识产权评价。</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（六）软件企业证书和软件产品证书指经中国软件行业协会或省、自治区、直辖市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软件行业评估机构评估的有效期内的软件企业证书和软件产品证书。</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（七）国家级创新创业大赛指</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国家部（委）</w:t>
      </w:r>
      <w:r>
        <w:rPr>
          <w:rFonts w:hint="eastAsia" w:ascii="仿宋_GB2312" w:hAnsi="仿宋_GB2312" w:eastAsia="仿宋_GB2312" w:cs="仿宋_GB2312"/>
          <w:sz w:val="32"/>
          <w:szCs w:val="32"/>
          <w:lang w:eastAsia="zh-CN"/>
        </w:rPr>
        <w:t>牵头组织的比赛</w:t>
      </w:r>
      <w:r>
        <w:rPr>
          <w:rFonts w:hint="eastAsia" w:ascii="仿宋_GB2312" w:hAnsi="仿宋_GB2312" w:eastAsia="仿宋_GB2312" w:cs="仿宋_GB2312"/>
          <w:sz w:val="32"/>
          <w:szCs w:val="32"/>
        </w:rPr>
        <w:t>。省级创新创业大赛指</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各省、自治区、直辖市的委（办、局）</w:t>
      </w:r>
      <w:r>
        <w:rPr>
          <w:rFonts w:hint="eastAsia" w:ascii="仿宋_GB2312" w:hAnsi="仿宋_GB2312" w:eastAsia="仿宋_GB2312" w:cs="仿宋_GB2312"/>
          <w:sz w:val="32"/>
          <w:szCs w:val="32"/>
          <w:lang w:eastAsia="zh-CN"/>
        </w:rPr>
        <w:t>牵头组织的比赛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（八）高新技术企业包括经全国高新技术企业认定管理工作领导小组办公室备案的高新技术企业，以及经天津市市级高新技术企业认定管理工作小组办公室备案的天津市市级高新技术企业。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（九）国家级科技奖励包括国家最高科学技术奖、国家自然科学奖、国家技术发明奖、国家科学技术进步奖和中华人民共和国国际科学技术合作奖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省部级科技奖励包括国家各部委和各省、自治区、直辖市颁发的各种科技奖励。</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（十）国家级和省部级研发机构包括国家（省、部）重点实验室、工程技术研究中心、工程实验室、工程研究中心、</w:t>
      </w:r>
      <w:r>
        <w:rPr>
          <w:rFonts w:hint="eastAsia" w:ascii="仿宋_GB2312" w:hAnsi="仿宋_GB2312" w:eastAsia="仿宋_GB2312" w:cs="仿宋_GB2312"/>
          <w:sz w:val="32"/>
          <w:szCs w:val="32"/>
          <w:lang w:eastAsia="zh-CN"/>
        </w:rPr>
        <w:t>技术创新中心、</w:t>
      </w:r>
      <w:r>
        <w:rPr>
          <w:rFonts w:hint="eastAsia" w:ascii="仿宋_GB2312" w:hAnsi="仿宋_GB2312" w:eastAsia="仿宋_GB2312" w:cs="仿宋_GB2312"/>
          <w:sz w:val="32"/>
          <w:szCs w:val="32"/>
        </w:rPr>
        <w:t>企业技术中心、国际联合研究中心</w:t>
      </w:r>
      <w:r>
        <w:rPr>
          <w:rFonts w:hint="eastAsia" w:ascii="仿宋_GB2312" w:hAnsi="仿宋_GB2312" w:eastAsia="仿宋_GB2312" w:cs="仿宋_GB2312"/>
          <w:sz w:val="32"/>
          <w:szCs w:val="32"/>
          <w:lang w:eastAsia="zh-CN"/>
        </w:rPr>
        <w:t>、临床医学研究中心、科技资源共享服务平台、野外科学观测研究站</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（十一）企业参加制定国际标准指企业参与过国际标准化组织（ISO）、国际电工委员会（IEC）和国际电信联盟（ITU）制定的标准，以及国际标准化组织确认并公布的其他国际组织制定的标准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企业参加制定国家标准、行业标准、地方标准指企业参加制定过符合《中华人民共和国标准化法》要求并已发布的相关标准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企业参加制定团体标准或企业标准指企业参加制定过符合《中华人民共和国标准化法》要求并已</w:t>
      </w:r>
      <w:r>
        <w:rPr>
          <w:rFonts w:hint="eastAsia" w:ascii="仿宋_GB2312" w:hAnsi="仿宋_GB2312" w:eastAsia="仿宋_GB2312" w:cs="仿宋_GB2312"/>
          <w:sz w:val="32"/>
          <w:szCs w:val="32"/>
          <w:lang w:eastAsia="zh-CN"/>
        </w:rPr>
        <w:t>在全国标准信息公共服务平台进行自我公开的</w:t>
      </w:r>
      <w:r>
        <w:rPr>
          <w:rFonts w:hint="eastAsia" w:ascii="仿宋_GB2312" w:hAnsi="仿宋_GB2312" w:eastAsia="仿宋_GB2312" w:cs="仿宋_GB2312"/>
          <w:sz w:val="32"/>
          <w:szCs w:val="32"/>
        </w:rPr>
        <w:t>相关标准。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（十二）创业投资指向创业企业进行股权投资，以期所投资创业企业发育成熟或相对成熟后主要通过股权转让获得资本增值收益的投资方式。</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国家级或省部级科技计划项目（课题）是指在国家或各省、自治区、直辖市科技计划中安排，由单位承担并在一定时间周期内进行的科学技术研究开发及相关活动，以及旨在促进科技进步和创新发展的相关事项。</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snapToGrid w:val="0"/>
        <w:spacing w:afterAutospacing="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i w:val="0"/>
          <w:iCs w:val="0"/>
          <w:color w:val="auto"/>
          <w:sz w:val="32"/>
          <w:szCs w:val="32"/>
          <w:u w:val="none"/>
          <w:lang w:eastAsia="zh-CN"/>
        </w:rPr>
        <w:t>第三章</w:t>
      </w:r>
      <w:r>
        <w:rPr>
          <w:rFonts w:hint="eastAsia" w:ascii="黑体" w:hAnsi="黑体" w:eastAsia="黑体" w:cs="黑体"/>
          <w:i w:val="0"/>
          <w:iCs w:val="0"/>
          <w:color w:val="auto"/>
          <w:sz w:val="32"/>
          <w:szCs w:val="32"/>
          <w:u w:val="none"/>
        </w:rPr>
        <w:t xml:space="preserve">  </w:t>
      </w:r>
      <w:r>
        <w:rPr>
          <w:rFonts w:hint="eastAsia" w:ascii="黑体" w:hAnsi="黑体" w:eastAsia="黑体" w:cs="黑体"/>
          <w:i w:val="0"/>
          <w:iCs w:val="0"/>
          <w:color w:val="auto"/>
          <w:sz w:val="32"/>
          <w:szCs w:val="32"/>
          <w:u w:val="none"/>
          <w:lang w:eastAsia="zh-CN"/>
        </w:rPr>
        <w:t>评价流程</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市科技局负责组织建设“天津市</w:t>
      </w:r>
      <w:r>
        <w:rPr>
          <w:rFonts w:hint="eastAsia" w:ascii="仿宋_GB2312" w:hAnsi="仿宋_GB2312" w:eastAsia="仿宋_GB2312" w:cs="仿宋_GB2312"/>
          <w:sz w:val="32"/>
          <w:szCs w:val="32"/>
          <w:lang w:val="en"/>
        </w:rPr>
        <w:t>雏鹰企业、瞪羚企业、科技领军企业和</w:t>
      </w:r>
      <w:r>
        <w:rPr>
          <w:rFonts w:hint="eastAsia" w:ascii="仿宋_GB2312" w:hAnsi="仿宋_GB2312" w:eastAsia="仿宋_GB2312" w:cs="仿宋_GB2312"/>
          <w:sz w:val="32"/>
          <w:szCs w:val="32"/>
          <w:lang w:val="en-US" w:eastAsia="zh-CN"/>
        </w:rPr>
        <w:t>科技领军培育</w:t>
      </w:r>
      <w:r>
        <w:rPr>
          <w:rFonts w:hint="eastAsia" w:ascii="仿宋_GB2312" w:hAnsi="仿宋_GB2312" w:eastAsia="仿宋_GB2312" w:cs="仿宋_GB2312"/>
          <w:sz w:val="32"/>
          <w:szCs w:val="32"/>
        </w:rPr>
        <w:t>企业评价服务系统”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“天津市</w:t>
      </w:r>
      <w:r>
        <w:rPr>
          <w:rFonts w:hint="eastAsia" w:ascii="仿宋_GB2312" w:hAnsi="仿宋_GB2312" w:eastAsia="仿宋_GB2312" w:cs="仿宋_GB2312"/>
          <w:sz w:val="32"/>
          <w:szCs w:val="32"/>
          <w:lang w:val="en"/>
        </w:rPr>
        <w:t>雏鹰企业、瞪羚企业、科技领军企业和</w:t>
      </w:r>
      <w:r>
        <w:rPr>
          <w:rFonts w:hint="eastAsia" w:ascii="仿宋_GB2312" w:hAnsi="仿宋_GB2312" w:eastAsia="仿宋_GB2312" w:cs="仿宋_GB2312"/>
          <w:sz w:val="32"/>
          <w:szCs w:val="32"/>
          <w:lang w:val="en-US" w:eastAsia="zh-CN"/>
        </w:rPr>
        <w:t>科技领军培育</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信息库</w:t>
      </w:r>
      <w:r>
        <w:rPr>
          <w:rFonts w:hint="eastAsia" w:ascii="仿宋_GB2312" w:hAnsi="仿宋_GB2312" w:eastAsia="仿宋_GB2312" w:cs="仿宋_GB2312"/>
          <w:sz w:val="32"/>
          <w:szCs w:val="32"/>
        </w:rPr>
        <w:t>”（以下分别简称评价服务</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lang w:val="en-US" w:eastAsia="zh-CN"/>
        </w:rPr>
        <w:t>企业信息库</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企业可对照本办法申报条件自主评价是否符合</w:t>
      </w:r>
      <w:r>
        <w:rPr>
          <w:rFonts w:hint="eastAsia" w:ascii="仿宋_GB2312" w:hAnsi="仿宋_GB2312" w:eastAsia="仿宋_GB2312" w:cs="仿宋_GB2312"/>
          <w:sz w:val="32"/>
          <w:szCs w:val="32"/>
          <w:lang w:val="en" w:eastAsia="zh-CN"/>
        </w:rPr>
        <w:t>雏鹰企业、瞪羚企业、科技领军企业、科技领军培育企业</w:t>
      </w:r>
      <w:r>
        <w:rPr>
          <w:rFonts w:hint="eastAsia" w:ascii="仿宋_GB2312" w:hAnsi="仿宋_GB2312" w:eastAsia="仿宋_GB2312" w:cs="仿宋_GB2312"/>
          <w:sz w:val="32"/>
          <w:szCs w:val="32"/>
          <w:lang w:val="en-US" w:eastAsia="zh-CN"/>
        </w:rPr>
        <w:t>条件，认为符合条件的，可自愿在评价服务系统注册登记，分别在线填报《天津市雏鹰企业信息表》《天津市瞪羚企业信息表》《天津市</w:t>
      </w:r>
      <w:r>
        <w:rPr>
          <w:rFonts w:hint="eastAsia" w:ascii="仿宋_GB2312" w:hAnsi="仿宋_GB2312" w:eastAsia="仿宋_GB2312" w:cs="仿宋_GB2312"/>
          <w:sz w:val="32"/>
          <w:szCs w:val="32"/>
          <w:lang w:val="en" w:eastAsia="zh-CN"/>
        </w:rPr>
        <w:t>科技领军企业和科技领军培育企业</w:t>
      </w:r>
      <w:r>
        <w:rPr>
          <w:rFonts w:hint="eastAsia" w:ascii="仿宋_GB2312" w:hAnsi="仿宋_GB2312" w:eastAsia="仿宋_GB2312" w:cs="仿宋_GB2312"/>
          <w:sz w:val="32"/>
          <w:szCs w:val="32"/>
          <w:lang w:val="en-US" w:eastAsia="zh-CN"/>
        </w:rPr>
        <w:t>信息表》（分别见附件1、附件2、附件3，以下简称《企业信息表》）。</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各区科技行政管理部门对企业填报的《企业信息表》进行形式审查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形式审查不通过的，在</w:t>
      </w:r>
      <w:r>
        <w:rPr>
          <w:rFonts w:hint="eastAsia" w:ascii="仿宋_GB2312" w:hAnsi="仿宋_GB2312" w:eastAsia="仿宋_GB2312" w:cs="仿宋_GB2312"/>
          <w:sz w:val="32"/>
          <w:szCs w:val="32"/>
          <w:lang w:val="en"/>
        </w:rPr>
        <w:t>评价服务系统</w:t>
      </w:r>
      <w:r>
        <w:rPr>
          <w:rFonts w:hint="eastAsia" w:ascii="仿宋_GB2312" w:hAnsi="仿宋_GB2312" w:eastAsia="仿宋_GB2312" w:cs="仿宋_GB2312"/>
          <w:sz w:val="32"/>
          <w:szCs w:val="32"/>
        </w:rPr>
        <w:t>上通知企业补正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形式审查通过的，在线提交至市科技局。</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市科技局</w:t>
      </w:r>
      <w:r>
        <w:rPr>
          <w:rFonts w:hint="eastAsia" w:ascii="仿宋_GB2312" w:hAnsi="仿宋_GB2312" w:eastAsia="仿宋_GB2312" w:cs="仿宋_GB2312"/>
          <w:sz w:val="32"/>
          <w:szCs w:val="32"/>
          <w:lang w:eastAsia="zh-CN"/>
        </w:rPr>
        <w:t>组织对申报</w:t>
      </w:r>
      <w:r>
        <w:rPr>
          <w:rFonts w:hint="eastAsia" w:ascii="仿宋_GB2312" w:hAnsi="仿宋_GB2312" w:eastAsia="仿宋_GB2312" w:cs="仿宋_GB2312"/>
          <w:sz w:val="32"/>
          <w:szCs w:val="32"/>
        </w:rPr>
        <w:t>科技领军和</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领军培育</w:t>
      </w:r>
      <w:r>
        <w:rPr>
          <w:rFonts w:hint="eastAsia" w:ascii="仿宋_GB2312" w:hAnsi="仿宋_GB2312" w:eastAsia="仿宋_GB2312" w:cs="仿宋_GB2312"/>
          <w:sz w:val="32"/>
          <w:szCs w:val="32"/>
          <w:lang w:eastAsia="zh-CN"/>
        </w:rPr>
        <w:t>评价的企业开展现场调查；通过政府采购的方式确定</w:t>
      </w:r>
      <w:r>
        <w:rPr>
          <w:rFonts w:hint="eastAsia" w:ascii="仿宋_GB2312" w:hAnsi="仿宋_GB2312" w:eastAsia="仿宋_GB2312" w:cs="仿宋_GB2312"/>
          <w:sz w:val="32"/>
          <w:szCs w:val="32"/>
        </w:rPr>
        <w:t>第三方评价机构，委托第三方评价机构对各区科技行政管理部门提交的《企业信息表》进行</w:t>
      </w:r>
      <w:r>
        <w:rPr>
          <w:rFonts w:hint="eastAsia" w:ascii="仿宋_GB2312" w:hAnsi="仿宋_GB2312" w:eastAsia="仿宋_GB2312" w:cs="仿宋_GB2312"/>
          <w:sz w:val="32"/>
          <w:szCs w:val="32"/>
          <w:lang w:eastAsia="zh-CN"/>
        </w:rPr>
        <w:t>审核。审核</w:t>
      </w:r>
      <w:r>
        <w:rPr>
          <w:rFonts w:hint="eastAsia" w:ascii="仿宋_GB2312" w:hAnsi="仿宋_GB2312" w:eastAsia="仿宋_GB2312" w:cs="仿宋_GB2312"/>
          <w:sz w:val="32"/>
          <w:szCs w:val="32"/>
        </w:rPr>
        <w:t>不通过的，第三方评价机构在</w:t>
      </w:r>
      <w:r>
        <w:rPr>
          <w:rFonts w:hint="eastAsia" w:ascii="仿宋_GB2312" w:hAnsi="仿宋_GB2312" w:eastAsia="仿宋_GB2312" w:cs="仿宋_GB2312"/>
          <w:sz w:val="32"/>
          <w:szCs w:val="32"/>
          <w:lang w:val="en"/>
        </w:rPr>
        <w:t>评价服务系统</w:t>
      </w:r>
      <w:r>
        <w:rPr>
          <w:rFonts w:hint="eastAsia" w:ascii="仿宋_GB2312" w:hAnsi="仿宋_GB2312" w:eastAsia="仿宋_GB2312" w:cs="仿宋_GB2312"/>
          <w:sz w:val="32"/>
          <w:szCs w:val="32"/>
        </w:rPr>
        <w:t>上退回各区科技行政管理部门，由各区科技行政管理部门通知企业补正。</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通过的，第三方评价机构在</w:t>
      </w:r>
      <w:r>
        <w:rPr>
          <w:rFonts w:hint="eastAsia" w:ascii="仿宋_GB2312" w:hAnsi="仿宋_GB2312" w:eastAsia="仿宋_GB2312" w:cs="仿宋_GB2312"/>
          <w:sz w:val="32"/>
          <w:szCs w:val="32"/>
          <w:lang w:val="en"/>
        </w:rPr>
        <w:t>评价服务系统</w:t>
      </w:r>
      <w:r>
        <w:rPr>
          <w:rFonts w:hint="eastAsia" w:ascii="仿宋_GB2312" w:hAnsi="仿宋_GB2312" w:eastAsia="仿宋_GB2312" w:cs="仿宋_GB2312"/>
          <w:sz w:val="32"/>
          <w:szCs w:val="32"/>
        </w:rPr>
        <w:t>公示7个工作日。公示无异议的企业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第三方评价机构在</w:t>
      </w:r>
      <w:r>
        <w:rPr>
          <w:rFonts w:hint="eastAsia" w:ascii="仿宋_GB2312" w:hAnsi="仿宋_GB2312" w:eastAsia="仿宋_GB2312" w:cs="仿宋_GB2312"/>
          <w:sz w:val="32"/>
          <w:szCs w:val="32"/>
          <w:lang w:val="en"/>
        </w:rPr>
        <w:t>评价服务系统</w:t>
      </w:r>
      <w:r>
        <w:rPr>
          <w:rFonts w:hint="eastAsia" w:ascii="仿宋_GB2312" w:hAnsi="仿宋_GB2312" w:eastAsia="仿宋_GB2312" w:cs="仿宋_GB2312"/>
          <w:sz w:val="32"/>
          <w:szCs w:val="32"/>
        </w:rPr>
        <w:t>公告，并</w:t>
      </w:r>
      <w:r>
        <w:rPr>
          <w:rFonts w:hint="eastAsia" w:ascii="仿宋_GB2312" w:hAnsi="仿宋_GB2312" w:eastAsia="仿宋_GB2312" w:cs="仿宋_GB2312"/>
          <w:sz w:val="32"/>
          <w:szCs w:val="32"/>
          <w:lang w:eastAsia="zh-CN"/>
        </w:rPr>
        <w:t>将上述企业分别</w:t>
      </w:r>
      <w:r>
        <w:rPr>
          <w:rFonts w:hint="eastAsia" w:ascii="仿宋_GB2312" w:hAnsi="仿宋_GB2312" w:eastAsia="仿宋_GB2312" w:cs="仿宋_GB2312"/>
          <w:sz w:val="32"/>
          <w:szCs w:val="32"/>
        </w:rPr>
        <w:t>纳入企业信息库，赋予天津市</w:t>
      </w:r>
      <w:r>
        <w:rPr>
          <w:rFonts w:hint="eastAsia" w:ascii="仿宋_GB2312" w:hAnsi="仿宋_GB2312" w:eastAsia="仿宋_GB2312" w:cs="仿宋_GB2312"/>
          <w:sz w:val="32"/>
          <w:szCs w:val="32"/>
          <w:lang w:val="en"/>
        </w:rPr>
        <w:t>雏鹰企业、瞪羚企业、科技领军企业和</w:t>
      </w:r>
      <w:r>
        <w:rPr>
          <w:rFonts w:hint="eastAsia" w:ascii="仿宋_GB2312" w:hAnsi="仿宋_GB2312" w:eastAsia="仿宋_GB2312" w:cs="仿宋_GB2312"/>
          <w:sz w:val="32"/>
          <w:szCs w:val="32"/>
          <w:lang w:val="en" w:eastAsia="zh-CN"/>
        </w:rPr>
        <w:t>科技领军培育企业</w:t>
      </w:r>
      <w:r>
        <w:rPr>
          <w:rFonts w:hint="eastAsia" w:ascii="仿宋_GB2312" w:hAnsi="仿宋_GB2312" w:eastAsia="仿宋_GB2312" w:cs="仿宋_GB2312"/>
          <w:sz w:val="32"/>
          <w:szCs w:val="32"/>
        </w:rPr>
        <w:t>入库登记编号（以下简称登记编号）。有异议的，由各区科技行政管理部门核实处理。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有关单位可</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企业信息库</w:t>
      </w:r>
      <w:r>
        <w:rPr>
          <w:rFonts w:hint="eastAsia" w:ascii="仿宋_GB2312" w:hAnsi="仿宋_GB2312" w:eastAsia="仿宋_GB2312" w:cs="仿宋_GB2312"/>
          <w:sz w:val="32"/>
          <w:szCs w:val="32"/>
        </w:rPr>
        <w:t>查验企业的登记编号。</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市科技局根据第三方评价机构公告情况，为入库企业印发“天津市雏鹰企业”“天津市瞪羚企业”“天津市</w:t>
      </w:r>
      <w:r>
        <w:rPr>
          <w:rFonts w:hint="eastAsia" w:ascii="仿宋_GB2312" w:hAnsi="仿宋_GB2312" w:eastAsia="仿宋_GB2312" w:cs="仿宋_GB2312"/>
          <w:sz w:val="32"/>
          <w:szCs w:val="32"/>
          <w:lang w:val="en" w:eastAsia="zh-CN"/>
        </w:rPr>
        <w:t>科技领军企业</w:t>
      </w:r>
      <w:r>
        <w:rPr>
          <w:rFonts w:hint="eastAsia" w:ascii="仿宋_GB2312" w:hAnsi="仿宋_GB2312" w:eastAsia="仿宋_GB2312" w:cs="仿宋_GB2312"/>
          <w:sz w:val="32"/>
          <w:szCs w:val="32"/>
        </w:rPr>
        <w:t>”“天津市</w:t>
      </w:r>
      <w:r>
        <w:rPr>
          <w:rFonts w:hint="eastAsia" w:ascii="仿宋_GB2312" w:hAnsi="仿宋_GB2312" w:eastAsia="仿宋_GB2312" w:cs="仿宋_GB2312"/>
          <w:sz w:val="32"/>
          <w:szCs w:val="32"/>
          <w:lang w:val="en" w:eastAsia="zh-CN"/>
        </w:rPr>
        <w:t>科技领军培育企业</w:t>
      </w:r>
      <w:r>
        <w:rPr>
          <w:rFonts w:hint="eastAsia" w:ascii="仿宋_GB2312" w:hAnsi="仿宋_GB2312" w:eastAsia="仿宋_GB2312" w:cs="仿宋_GB2312"/>
          <w:sz w:val="32"/>
          <w:szCs w:val="32"/>
        </w:rPr>
        <w:t>”证书。</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登记编号实行动态管理，</w:t>
      </w:r>
      <w:r>
        <w:rPr>
          <w:rFonts w:hint="eastAsia" w:ascii="仿宋_GB2312" w:hAnsi="仿宋_GB2312" w:eastAsia="仿宋_GB2312" w:cs="仿宋_GB2312"/>
          <w:sz w:val="32"/>
          <w:szCs w:val="32"/>
          <w:lang w:eastAsia="zh-CN"/>
        </w:rPr>
        <w:t>雏鹰企业、瞪羚企业</w:t>
      </w:r>
      <w:r>
        <w:rPr>
          <w:rFonts w:hint="eastAsia" w:ascii="仿宋_GB2312" w:hAnsi="仿宋_GB2312" w:eastAsia="仿宋_GB2312" w:cs="仿宋_GB2312"/>
          <w:sz w:val="32"/>
          <w:szCs w:val="32"/>
        </w:rPr>
        <w:t>自公告之日起至</w:t>
      </w:r>
      <w:r>
        <w:rPr>
          <w:rFonts w:hint="eastAsia" w:ascii="仿宋_GB2312" w:hAnsi="仿宋_GB2312" w:eastAsia="仿宋_GB2312" w:cs="仿宋_GB2312"/>
          <w:sz w:val="32"/>
          <w:szCs w:val="32"/>
          <w:lang w:eastAsia="zh-CN"/>
        </w:rPr>
        <w:t>第二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（通过评价的当年为第一年）</w:t>
      </w:r>
      <w:r>
        <w:rPr>
          <w:rFonts w:hint="eastAsia" w:ascii="仿宋_GB2312" w:hAnsi="仿宋_GB2312" w:eastAsia="仿宋_GB2312" w:cs="仿宋_GB2312"/>
          <w:sz w:val="32"/>
          <w:szCs w:val="32"/>
        </w:rPr>
        <w:t>5月31日前有效</w:t>
      </w:r>
      <w:r>
        <w:rPr>
          <w:rFonts w:hint="eastAsia" w:ascii="仿宋_GB2312" w:hAnsi="仿宋_GB2312" w:eastAsia="仿宋_GB2312" w:cs="仿宋_GB2312"/>
          <w:sz w:val="32"/>
          <w:szCs w:val="32"/>
          <w:lang w:eastAsia="zh-CN"/>
        </w:rPr>
        <w:t>，科技领军企业、科技领军培育企业</w:t>
      </w:r>
      <w:r>
        <w:rPr>
          <w:rFonts w:hint="eastAsia" w:ascii="仿宋_GB2312" w:hAnsi="仿宋_GB2312" w:eastAsia="仿宋_GB2312" w:cs="仿宋_GB2312"/>
          <w:sz w:val="32"/>
          <w:szCs w:val="32"/>
        </w:rPr>
        <w:t>自公告之日起至</w:t>
      </w:r>
      <w:r>
        <w:rPr>
          <w:rFonts w:hint="eastAsia" w:ascii="仿宋_GB2312" w:hAnsi="仿宋_GB2312" w:eastAsia="仿宋_GB2312" w:cs="仿宋_GB2312"/>
          <w:sz w:val="32"/>
          <w:szCs w:val="32"/>
          <w:lang w:eastAsia="zh-CN"/>
        </w:rPr>
        <w:t>第四</w:t>
      </w:r>
      <w:r>
        <w:rPr>
          <w:rFonts w:hint="eastAsia" w:ascii="仿宋_GB2312" w:hAnsi="仿宋_GB2312" w:eastAsia="仿宋_GB2312" w:cs="仿宋_GB2312"/>
          <w:sz w:val="32"/>
          <w:szCs w:val="32"/>
        </w:rPr>
        <w:t>年5月31日前有效。证书有效期与登记编号有效期一致。</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市科技局通过</w:t>
      </w:r>
      <w:r>
        <w:rPr>
          <w:rFonts w:hint="eastAsia" w:ascii="仿宋_GB2312" w:hAnsi="仿宋_GB2312" w:eastAsia="仿宋_GB2312" w:cs="仿宋_GB2312"/>
          <w:sz w:val="32"/>
          <w:szCs w:val="32"/>
        </w:rPr>
        <w:t>评价服务</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lang w:val="en-US" w:eastAsia="zh-CN"/>
        </w:rPr>
        <w:t>对企业拥有的知识产权、科技奖励、创新创业大赛获奖、研发机构、制定标准、研发投入等情况进行</w:t>
      </w:r>
      <w:r>
        <w:rPr>
          <w:rFonts w:hint="eastAsia" w:ascii="仿宋_GB2312" w:hAnsi="仿宋_GB2312" w:eastAsia="仿宋_GB2312" w:cs="仿宋_GB2312"/>
          <w:sz w:val="32"/>
          <w:szCs w:val="32"/>
          <w:lang w:val="en" w:eastAsia="zh-CN"/>
        </w:rPr>
        <w:t>量化积分</w:t>
      </w:r>
      <w:r>
        <w:rPr>
          <w:rFonts w:hint="eastAsia" w:ascii="仿宋_GB2312" w:hAnsi="仿宋_GB2312" w:eastAsia="仿宋_GB2312" w:cs="仿宋_GB2312"/>
          <w:sz w:val="32"/>
          <w:szCs w:val="32"/>
          <w:lang w:val="en-US" w:eastAsia="zh-CN"/>
        </w:rPr>
        <w:t>，并印制在证书上。</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登记编号</w:t>
      </w:r>
      <w:r>
        <w:rPr>
          <w:rFonts w:hint="eastAsia" w:ascii="仿宋_GB2312" w:hAnsi="仿宋_GB2312" w:eastAsia="仿宋_GB2312" w:cs="仿宋_GB2312"/>
          <w:sz w:val="32"/>
          <w:szCs w:val="32"/>
          <w:lang w:eastAsia="zh-CN"/>
        </w:rPr>
        <w:t>失效的企业，可再次</w:t>
      </w:r>
      <w:r>
        <w:rPr>
          <w:rFonts w:hint="eastAsia" w:ascii="仿宋_GB2312" w:hAnsi="仿宋_GB2312" w:eastAsia="仿宋_GB2312" w:cs="仿宋_GB2312"/>
          <w:sz w:val="32"/>
          <w:szCs w:val="32"/>
        </w:rPr>
        <w:t>进行自主评价</w:t>
      </w:r>
      <w:r>
        <w:rPr>
          <w:rFonts w:hint="eastAsia" w:ascii="仿宋_GB2312" w:hAnsi="仿宋_GB2312" w:eastAsia="仿宋_GB2312" w:cs="仿宋_GB2312"/>
          <w:sz w:val="32"/>
          <w:szCs w:val="32"/>
          <w:lang w:eastAsia="zh-CN"/>
        </w:rPr>
        <w:t>（以下简称复评）</w:t>
      </w:r>
      <w:r>
        <w:rPr>
          <w:rFonts w:hint="eastAsia" w:ascii="仿宋_GB2312" w:hAnsi="仿宋_GB2312" w:eastAsia="仿宋_GB2312" w:cs="仿宋_GB2312"/>
          <w:sz w:val="32"/>
          <w:szCs w:val="32"/>
        </w:rPr>
        <w:t>，符合条件的，按照本办法第十条、第十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条和第十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条规定程序办理</w:t>
      </w:r>
      <w:r>
        <w:rPr>
          <w:rFonts w:hint="eastAsia" w:ascii="仿宋_GB2312" w:hAnsi="仿宋_GB2312" w:eastAsia="仿宋_GB2312" w:cs="仿宋_GB2312"/>
          <w:sz w:val="32"/>
          <w:szCs w:val="32"/>
          <w:lang w:eastAsia="zh-CN"/>
        </w:rPr>
        <w:t>，并取得新的</w:t>
      </w:r>
      <w:r>
        <w:rPr>
          <w:rFonts w:hint="eastAsia" w:ascii="仿宋_GB2312" w:hAnsi="仿宋_GB2312" w:eastAsia="仿宋_GB2312" w:cs="仿宋_GB2312"/>
          <w:sz w:val="32"/>
          <w:szCs w:val="32"/>
        </w:rPr>
        <w:t>登记编号</w:t>
      </w:r>
      <w:r>
        <w:rPr>
          <w:rFonts w:hint="eastAsia" w:ascii="仿宋_GB2312" w:hAnsi="仿宋_GB2312" w:eastAsia="仿宋_GB2312" w:cs="仿宋_GB2312"/>
          <w:sz w:val="32"/>
          <w:szCs w:val="32"/>
          <w:lang w:eastAsia="zh-CN"/>
        </w:rPr>
        <w:t>和证书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已入库企业发生更名或与</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rPr>
        <w:t>第二章规定的条件有关的重大变化的，应在三个月内通过</w:t>
      </w:r>
      <w:r>
        <w:rPr>
          <w:rFonts w:hint="eastAsia" w:ascii="仿宋_GB2312" w:hAnsi="仿宋_GB2312" w:eastAsia="仿宋_GB2312" w:cs="仿宋_GB2312"/>
          <w:sz w:val="32"/>
          <w:szCs w:val="32"/>
          <w:lang w:eastAsia="zh-CN"/>
        </w:rPr>
        <w:t>评价服务</w:t>
      </w:r>
      <w:r>
        <w:rPr>
          <w:rFonts w:hint="eastAsia" w:ascii="仿宋_GB2312" w:hAnsi="仿宋_GB2312" w:eastAsia="仿宋_GB2312" w:cs="仿宋_GB2312"/>
          <w:sz w:val="32"/>
          <w:szCs w:val="32"/>
        </w:rPr>
        <w:t>系统填报变化情况。</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市科技局</w:t>
      </w:r>
      <w:r>
        <w:rPr>
          <w:rFonts w:hint="eastAsia" w:ascii="仿宋_GB2312" w:hAnsi="仿宋_GB2312" w:eastAsia="仿宋_GB2312" w:cs="仿宋_GB2312"/>
          <w:sz w:val="32"/>
          <w:szCs w:val="32"/>
          <w:lang w:val="en-US" w:eastAsia="zh-CN"/>
        </w:rPr>
        <w:t>每年根据入库企业的上一年度营业收入、上一年度应缴纳的所得税和增值税、获得的</w:t>
      </w:r>
      <w:r>
        <w:rPr>
          <w:rFonts w:hint="eastAsia" w:ascii="仿宋_GB2312" w:hAnsi="仿宋_GB2312" w:eastAsia="仿宋_GB2312" w:cs="仿宋_GB2312"/>
          <w:sz w:val="32"/>
          <w:szCs w:val="32"/>
          <w:lang w:val="en" w:eastAsia="zh-CN"/>
        </w:rPr>
        <w:t>创业投资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量化积分</w:t>
      </w:r>
      <w:r>
        <w:rPr>
          <w:rFonts w:hint="eastAsia" w:ascii="仿宋_GB2312" w:hAnsi="仿宋_GB2312" w:eastAsia="仿宋_GB2312" w:cs="仿宋_GB2312"/>
          <w:sz w:val="32"/>
          <w:szCs w:val="32"/>
          <w:lang w:val="en-US" w:eastAsia="zh-CN"/>
        </w:rPr>
        <w:t>等情况开展综合评分。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第十七条  </w:t>
      </w:r>
      <w:r>
        <w:rPr>
          <w:rFonts w:hint="eastAsia" w:ascii="仿宋_GB2312" w:hAnsi="仿宋_GB2312" w:eastAsia="仿宋_GB2312" w:cs="仿宋_GB2312"/>
          <w:sz w:val="32"/>
          <w:szCs w:val="32"/>
        </w:rPr>
        <w:t>已获得</w:t>
      </w:r>
      <w:r>
        <w:rPr>
          <w:rFonts w:hint="eastAsia" w:ascii="仿宋_GB2312" w:hAnsi="仿宋_GB2312" w:eastAsia="仿宋_GB2312" w:cs="仿宋_GB2312"/>
          <w:sz w:val="32"/>
          <w:szCs w:val="32"/>
          <w:lang w:val="en-US" w:eastAsia="zh-CN"/>
        </w:rPr>
        <w:t>领军项目资助</w:t>
      </w:r>
      <w:r>
        <w:rPr>
          <w:rFonts w:hint="eastAsia" w:ascii="仿宋_GB2312" w:hAnsi="仿宋_GB2312" w:eastAsia="仿宋_GB2312" w:cs="仿宋_GB2312"/>
          <w:sz w:val="32"/>
          <w:szCs w:val="32"/>
        </w:rPr>
        <w:t>的企业，</w:t>
      </w:r>
      <w:r>
        <w:rPr>
          <w:rFonts w:hint="eastAsia" w:ascii="仿宋_GB2312" w:hAnsi="仿宋_GB2312" w:eastAsia="仿宋_GB2312" w:cs="仿宋_GB2312"/>
          <w:sz w:val="32"/>
          <w:szCs w:val="32"/>
          <w:lang w:eastAsia="zh-CN"/>
        </w:rPr>
        <w:t>以及已获评的科技领军、科技领军培育企业，</w:t>
      </w:r>
      <w:r>
        <w:rPr>
          <w:rFonts w:hint="eastAsia" w:ascii="仿宋_GB2312" w:hAnsi="仿宋_GB2312" w:eastAsia="仿宋_GB2312" w:cs="仿宋_GB2312"/>
          <w:sz w:val="32"/>
          <w:szCs w:val="32"/>
        </w:rPr>
        <w:t>不得再申报雏鹰企业、瞪羚企业</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已获评瞪羚企业的，不得再申报雏鹰企业评价。</w:t>
      </w:r>
      <w:r>
        <w:rPr>
          <w:rFonts w:hint="eastAsia" w:ascii="仿宋_GB2312" w:hAnsi="仿宋_GB2312" w:eastAsia="仿宋_GB2312" w:cs="仿宋_GB2312"/>
          <w:sz w:val="32"/>
          <w:szCs w:val="32"/>
          <w:lang w:val="en-US" w:eastAsia="zh-CN"/>
        </w:rPr>
        <w:t>同一企业在同一申报年度不能同时获评为天津市</w:t>
      </w:r>
      <w:r>
        <w:rPr>
          <w:rFonts w:hint="eastAsia" w:ascii="仿宋_GB2312" w:hAnsi="仿宋_GB2312" w:eastAsia="仿宋_GB2312" w:cs="仿宋_GB2312"/>
          <w:sz w:val="32"/>
          <w:szCs w:val="32"/>
          <w:lang w:val="en" w:eastAsia="zh-CN"/>
        </w:rPr>
        <w:t>雏鹰企业、瞪羚企业、科技领军企业和科技领军培育企业。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支持办法</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市科技局对连续12个月内年日均贷款余额不低于50万元的雏鹰企业，给予一次性市财政资金5万元奖励。</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对于首次通过评价的瞪羚企业</w:t>
      </w:r>
      <w:r>
        <w:rPr>
          <w:rFonts w:hint="eastAsia" w:ascii="仿宋_GB2312" w:hAnsi="仿宋_GB2312" w:eastAsia="仿宋_GB2312" w:cs="仿宋_GB2312"/>
          <w:sz w:val="32"/>
          <w:szCs w:val="32"/>
          <w:lang w:val="en" w:eastAsia="zh-CN"/>
        </w:rPr>
        <w:t>给予</w:t>
      </w:r>
      <w:r>
        <w:rPr>
          <w:rFonts w:hint="eastAsia" w:ascii="仿宋_GB2312" w:hAnsi="仿宋_GB2312" w:eastAsia="仿宋_GB2312" w:cs="仿宋_GB2312"/>
          <w:sz w:val="32"/>
          <w:szCs w:val="32"/>
          <w:lang w:val="en-US" w:eastAsia="zh-CN"/>
        </w:rPr>
        <w:t>一次性市财政资金最高20万元奖励。</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首次通过评价的科技领军企业和科技领军培育企业，支持企业实施重大创新项目，分别给予最高500万元和300万元的项目资助（以下简称领军项目资助），市和区财政（或企业所属的局级主管部门）各负担50%，每个企业只能获得一次领军项目资助。</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科技领军培育企业成长为科技领军企业的，市财政给予50万元成长奖励，每个企业只能获得一次成长奖励。</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领军项目资助的流程是：市科技局每年开展2次“科技领军企业和科技领军培育企业重大创新项目”征集工作，并按照天津市科技计划管理相关办法对申报项目进行评审，对获得立项的企业，给予领军项目资助；没有获得立项的，企业可按照上述流程继续申报，但申报4次后仍不能获得立项的，不再给予领军项目申报资格。</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瞪羚企业、科技领军培育企业、科技领军企业复评通过保持原称号且营业收入较上一年正增长的，市财政给予5万元奖励。</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本办法印发施行前获得过天津市科技领军、科技领军培育认定的企业，有效期满后按照本办法评价通过保持原称号，视为通过复评，营业收入较上一年正增长的，可享受本办法第二十条政策的支持，但不再享受领军项目资助。本办法印发施行前获得过领军项目资助但没有获得认定的企业视为科技领军培育企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科技领军企业和科技领军培育企业应在登记编号有效期内每个年度的5月31日前通过评价服务系统对《企业信息表》进行更新，不视为复评。</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对通过评价的雏鹰企业、瞪羚企业、科技领军企业和科技领军培育企业的支持资金，由</w:t>
      </w:r>
      <w:r>
        <w:rPr>
          <w:rFonts w:hint="eastAsia" w:ascii="仿宋_GB2312" w:hAnsi="仿宋_GB2312" w:eastAsia="仿宋_GB2312" w:cs="仿宋_GB2312"/>
          <w:sz w:val="32"/>
          <w:szCs w:val="32"/>
          <w:lang w:val="en-US" w:eastAsia="zh-CN"/>
        </w:rPr>
        <w:t>市科技局会同市财政局联合发文下达支持资金计划，按现行资金拨付渠道拨付相关企业。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监督检查</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参加评价的企业应保证所填写信息和所提交材料的真实性、合法性，不得弄虚作假，并承诺为此承担有关法律责任。对弄虚作假通过评价的企业，市科技局将追回已发放的财政支持资金，并将相关企业纳入科研失信名单，按照诚信管理相关制度处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已入库企业有下列行为之一的，由第三方评价机构取消其登记编号，并在</w:t>
      </w:r>
      <w:r>
        <w:rPr>
          <w:rFonts w:hint="eastAsia" w:ascii="仿宋_GB2312" w:hAnsi="仿宋_GB2312" w:eastAsia="仿宋_GB2312" w:cs="仿宋_GB2312"/>
          <w:sz w:val="32"/>
          <w:szCs w:val="32"/>
          <w:lang w:val="en"/>
        </w:rPr>
        <w:t>评价服务系统</w:t>
      </w:r>
      <w:r>
        <w:rPr>
          <w:rFonts w:hint="eastAsia" w:ascii="仿宋_GB2312" w:hAnsi="仿宋_GB2312" w:eastAsia="仿宋_GB2312" w:cs="仿宋_GB2312"/>
          <w:sz w:val="32"/>
          <w:szCs w:val="32"/>
        </w:rPr>
        <w:t>发布撤销登记编号公告；市科技局在政务网发布公告，通告其证书失效：</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（一）企业发生重大变化，不再符合</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rPr>
        <w:t>第二章规定条件的；</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（二）存在弄虚作假行为的；</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（三）发生科研严重失信行为的；</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（四）被列入经营异常名录的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）被列入严重违法失信企业名单的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市科技局根据工作需要对各区科技行政管理部门管理工作进行监督检查。区科技行政管理部门对已入库企业进行抽查，对经抽查或被查企业确认不符合条件的，按照</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条规定处理。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附则</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之日起施行</w:t>
      </w:r>
      <w:r>
        <w:rPr>
          <w:rFonts w:hint="eastAsia" w:ascii="仿宋_GB2312" w:hAnsi="仿宋_GB2312" w:eastAsia="仿宋_GB2312" w:cs="仿宋_GB2312"/>
          <w:sz w:val="32"/>
          <w:szCs w:val="32"/>
          <w:lang w:val="en-US" w:eastAsia="zh-CN"/>
        </w:rPr>
        <w:t>，有效期至2024年12月31日。</w:t>
      </w:r>
    </w:p>
    <w:sectPr>
      <w:pgSz w:w="11906" w:h="16838"/>
      <w:pgMar w:top="2098"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sz w:val="28"/>
        <w:szCs w:val="28"/>
      </w:rPr>
    </w:pPr>
  </w:p>
  <w:p>
    <w:pPr>
      <w:pStyle w:val="5"/>
      <w:framePr w:wrap="around" w:vAnchor="text" w:hAnchor="margin" w:xAlign="outside" w:y="1"/>
      <w:rPr>
        <w:rStyle w:val="12"/>
      </w:rPr>
    </w:pP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page" w:hAnchor="margin" w:xAlign="outside" w:yAlign="outside"/>
      <w:ind w:right="360" w:firstLine="360"/>
      <w:rPr>
        <w:rStyle w:val="12"/>
      </w:rPr>
    </w:pP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C4F27"/>
    <w:multiLevelType w:val="singleLevel"/>
    <w:tmpl w:val="BEBC4F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63"/>
    <w:rsid w:val="00016C70"/>
    <w:rsid w:val="00017455"/>
    <w:rsid w:val="00020C9F"/>
    <w:rsid w:val="00033356"/>
    <w:rsid w:val="00040043"/>
    <w:rsid w:val="000437BB"/>
    <w:rsid w:val="000448C8"/>
    <w:rsid w:val="0005139E"/>
    <w:rsid w:val="00066B6D"/>
    <w:rsid w:val="00072AA7"/>
    <w:rsid w:val="00072C26"/>
    <w:rsid w:val="00084182"/>
    <w:rsid w:val="00096BEC"/>
    <w:rsid w:val="000B65B5"/>
    <w:rsid w:val="000C22F1"/>
    <w:rsid w:val="000C7383"/>
    <w:rsid w:val="000F0341"/>
    <w:rsid w:val="00110F20"/>
    <w:rsid w:val="00116317"/>
    <w:rsid w:val="00126104"/>
    <w:rsid w:val="00132AC9"/>
    <w:rsid w:val="001536D3"/>
    <w:rsid w:val="00154FD6"/>
    <w:rsid w:val="00183A65"/>
    <w:rsid w:val="00187DDB"/>
    <w:rsid w:val="00193A5B"/>
    <w:rsid w:val="00197CA9"/>
    <w:rsid w:val="001C2CCE"/>
    <w:rsid w:val="001D0244"/>
    <w:rsid w:val="001E57D3"/>
    <w:rsid w:val="001F5A24"/>
    <w:rsid w:val="001F75BB"/>
    <w:rsid w:val="001F7BAF"/>
    <w:rsid w:val="002025BF"/>
    <w:rsid w:val="002028FA"/>
    <w:rsid w:val="00202A30"/>
    <w:rsid w:val="00207061"/>
    <w:rsid w:val="00214DFC"/>
    <w:rsid w:val="00224FFE"/>
    <w:rsid w:val="00237893"/>
    <w:rsid w:val="002422BB"/>
    <w:rsid w:val="0024734C"/>
    <w:rsid w:val="00262777"/>
    <w:rsid w:val="00296547"/>
    <w:rsid w:val="002B51DA"/>
    <w:rsid w:val="002C7FA4"/>
    <w:rsid w:val="002D1539"/>
    <w:rsid w:val="00313F50"/>
    <w:rsid w:val="00347EF8"/>
    <w:rsid w:val="00355667"/>
    <w:rsid w:val="00376DFF"/>
    <w:rsid w:val="003A382A"/>
    <w:rsid w:val="003A5B7F"/>
    <w:rsid w:val="003B1AD1"/>
    <w:rsid w:val="003C215C"/>
    <w:rsid w:val="003C4EFA"/>
    <w:rsid w:val="003D6D30"/>
    <w:rsid w:val="003F5C8A"/>
    <w:rsid w:val="004154A9"/>
    <w:rsid w:val="00416047"/>
    <w:rsid w:val="00434C3F"/>
    <w:rsid w:val="0043543B"/>
    <w:rsid w:val="00435F80"/>
    <w:rsid w:val="004562B6"/>
    <w:rsid w:val="00456F61"/>
    <w:rsid w:val="0046368B"/>
    <w:rsid w:val="00480BCE"/>
    <w:rsid w:val="00492712"/>
    <w:rsid w:val="00492755"/>
    <w:rsid w:val="0049707C"/>
    <w:rsid w:val="004B247B"/>
    <w:rsid w:val="004B63FA"/>
    <w:rsid w:val="004C147D"/>
    <w:rsid w:val="004F16CE"/>
    <w:rsid w:val="004F2573"/>
    <w:rsid w:val="005067F8"/>
    <w:rsid w:val="00515B1F"/>
    <w:rsid w:val="00541613"/>
    <w:rsid w:val="00541968"/>
    <w:rsid w:val="005563AB"/>
    <w:rsid w:val="00565144"/>
    <w:rsid w:val="00567282"/>
    <w:rsid w:val="00576710"/>
    <w:rsid w:val="005B69A3"/>
    <w:rsid w:val="005C0802"/>
    <w:rsid w:val="005F790E"/>
    <w:rsid w:val="00605775"/>
    <w:rsid w:val="00613AC3"/>
    <w:rsid w:val="00615C2F"/>
    <w:rsid w:val="00622FC9"/>
    <w:rsid w:val="006368F1"/>
    <w:rsid w:val="00655597"/>
    <w:rsid w:val="006561BB"/>
    <w:rsid w:val="00661910"/>
    <w:rsid w:val="00667A36"/>
    <w:rsid w:val="00684075"/>
    <w:rsid w:val="006872EB"/>
    <w:rsid w:val="00690DBF"/>
    <w:rsid w:val="006A56C2"/>
    <w:rsid w:val="006B5D8D"/>
    <w:rsid w:val="006C7CB9"/>
    <w:rsid w:val="006D16EF"/>
    <w:rsid w:val="006D1A26"/>
    <w:rsid w:val="006D2756"/>
    <w:rsid w:val="006E0784"/>
    <w:rsid w:val="006E10CD"/>
    <w:rsid w:val="006E57BA"/>
    <w:rsid w:val="006F065A"/>
    <w:rsid w:val="00700E63"/>
    <w:rsid w:val="007276B8"/>
    <w:rsid w:val="0074185C"/>
    <w:rsid w:val="00742EA5"/>
    <w:rsid w:val="007533D5"/>
    <w:rsid w:val="007536FE"/>
    <w:rsid w:val="0076389B"/>
    <w:rsid w:val="00767130"/>
    <w:rsid w:val="007678CB"/>
    <w:rsid w:val="007811C2"/>
    <w:rsid w:val="007A4C6D"/>
    <w:rsid w:val="007A6133"/>
    <w:rsid w:val="007B4F47"/>
    <w:rsid w:val="007B54DD"/>
    <w:rsid w:val="007B73C6"/>
    <w:rsid w:val="007C2EAF"/>
    <w:rsid w:val="007F3283"/>
    <w:rsid w:val="007F78A7"/>
    <w:rsid w:val="00805478"/>
    <w:rsid w:val="00806163"/>
    <w:rsid w:val="00817FAA"/>
    <w:rsid w:val="008336EE"/>
    <w:rsid w:val="00844197"/>
    <w:rsid w:val="00864727"/>
    <w:rsid w:val="00881320"/>
    <w:rsid w:val="00886111"/>
    <w:rsid w:val="008A2C02"/>
    <w:rsid w:val="008B1BA0"/>
    <w:rsid w:val="008E023A"/>
    <w:rsid w:val="008F2263"/>
    <w:rsid w:val="009060E8"/>
    <w:rsid w:val="00911605"/>
    <w:rsid w:val="009407D3"/>
    <w:rsid w:val="0096774F"/>
    <w:rsid w:val="009718B0"/>
    <w:rsid w:val="00971CF3"/>
    <w:rsid w:val="0097762C"/>
    <w:rsid w:val="00982DE2"/>
    <w:rsid w:val="009851F0"/>
    <w:rsid w:val="00993DC2"/>
    <w:rsid w:val="009A41DF"/>
    <w:rsid w:val="009B1FBF"/>
    <w:rsid w:val="009C02A6"/>
    <w:rsid w:val="009C3323"/>
    <w:rsid w:val="009C6BBB"/>
    <w:rsid w:val="009E36AA"/>
    <w:rsid w:val="009E5066"/>
    <w:rsid w:val="009F5D81"/>
    <w:rsid w:val="00A02E06"/>
    <w:rsid w:val="00A03733"/>
    <w:rsid w:val="00A303D4"/>
    <w:rsid w:val="00A4356B"/>
    <w:rsid w:val="00A52029"/>
    <w:rsid w:val="00A64252"/>
    <w:rsid w:val="00A65299"/>
    <w:rsid w:val="00A7416E"/>
    <w:rsid w:val="00A760B6"/>
    <w:rsid w:val="00A76275"/>
    <w:rsid w:val="00A83EC2"/>
    <w:rsid w:val="00A9100B"/>
    <w:rsid w:val="00AA33A2"/>
    <w:rsid w:val="00AA48FC"/>
    <w:rsid w:val="00AA6B31"/>
    <w:rsid w:val="00AB598D"/>
    <w:rsid w:val="00AB67D4"/>
    <w:rsid w:val="00AE6BD4"/>
    <w:rsid w:val="00B03CA6"/>
    <w:rsid w:val="00B134DF"/>
    <w:rsid w:val="00B2082C"/>
    <w:rsid w:val="00B3207E"/>
    <w:rsid w:val="00B424E6"/>
    <w:rsid w:val="00B62B3D"/>
    <w:rsid w:val="00B637F0"/>
    <w:rsid w:val="00B7124C"/>
    <w:rsid w:val="00B77EE6"/>
    <w:rsid w:val="00B97CDB"/>
    <w:rsid w:val="00BA5C8D"/>
    <w:rsid w:val="00BD0EE8"/>
    <w:rsid w:val="00BF77E4"/>
    <w:rsid w:val="00C03278"/>
    <w:rsid w:val="00C168A7"/>
    <w:rsid w:val="00C34D5C"/>
    <w:rsid w:val="00C36D7E"/>
    <w:rsid w:val="00C37443"/>
    <w:rsid w:val="00C7223D"/>
    <w:rsid w:val="00C73384"/>
    <w:rsid w:val="00C73B20"/>
    <w:rsid w:val="00C92894"/>
    <w:rsid w:val="00CA226B"/>
    <w:rsid w:val="00CB0A1A"/>
    <w:rsid w:val="00CD1580"/>
    <w:rsid w:val="00CE5565"/>
    <w:rsid w:val="00CE55A0"/>
    <w:rsid w:val="00D05123"/>
    <w:rsid w:val="00D37BAC"/>
    <w:rsid w:val="00D437A8"/>
    <w:rsid w:val="00D471EF"/>
    <w:rsid w:val="00D502E3"/>
    <w:rsid w:val="00D53DA6"/>
    <w:rsid w:val="00D545A4"/>
    <w:rsid w:val="00D55107"/>
    <w:rsid w:val="00D91F65"/>
    <w:rsid w:val="00D93D8E"/>
    <w:rsid w:val="00DA52E0"/>
    <w:rsid w:val="00DC1E34"/>
    <w:rsid w:val="00DD2B27"/>
    <w:rsid w:val="00DD3E85"/>
    <w:rsid w:val="00DE2528"/>
    <w:rsid w:val="00DF5283"/>
    <w:rsid w:val="00DF7298"/>
    <w:rsid w:val="00E05788"/>
    <w:rsid w:val="00E27304"/>
    <w:rsid w:val="00E35D01"/>
    <w:rsid w:val="00E457C7"/>
    <w:rsid w:val="00E52EA7"/>
    <w:rsid w:val="00E63B40"/>
    <w:rsid w:val="00E74C02"/>
    <w:rsid w:val="00E80BDB"/>
    <w:rsid w:val="00E810F0"/>
    <w:rsid w:val="00E822CB"/>
    <w:rsid w:val="00E904E7"/>
    <w:rsid w:val="00EB23EA"/>
    <w:rsid w:val="00EB3BD1"/>
    <w:rsid w:val="00ED731D"/>
    <w:rsid w:val="00EE7821"/>
    <w:rsid w:val="00EF4DB9"/>
    <w:rsid w:val="00F36580"/>
    <w:rsid w:val="00F41D3A"/>
    <w:rsid w:val="00F43B10"/>
    <w:rsid w:val="00F5219D"/>
    <w:rsid w:val="00F57C8A"/>
    <w:rsid w:val="00F659D3"/>
    <w:rsid w:val="00F766D4"/>
    <w:rsid w:val="00F83F42"/>
    <w:rsid w:val="00F94839"/>
    <w:rsid w:val="00FC3530"/>
    <w:rsid w:val="00FC4D74"/>
    <w:rsid w:val="00FD306B"/>
    <w:rsid w:val="00FD6C2B"/>
    <w:rsid w:val="00FE4016"/>
    <w:rsid w:val="53FE4FEE"/>
    <w:rsid w:val="5E7F1EE6"/>
    <w:rsid w:val="5F9FD04C"/>
    <w:rsid w:val="6DD5EC37"/>
    <w:rsid w:val="72AF68A4"/>
    <w:rsid w:val="7577DBA0"/>
    <w:rsid w:val="7B7FCF52"/>
    <w:rsid w:val="7DEB1698"/>
    <w:rsid w:val="7FBE087A"/>
    <w:rsid w:val="974D3CA7"/>
    <w:rsid w:val="97CDB41A"/>
    <w:rsid w:val="ABFE4B40"/>
    <w:rsid w:val="BEFDB77D"/>
    <w:rsid w:val="BFBC4DF9"/>
    <w:rsid w:val="CFCEED28"/>
    <w:rsid w:val="CFEFC780"/>
    <w:rsid w:val="DFBFE1D4"/>
    <w:rsid w:val="E5CDDC9A"/>
    <w:rsid w:val="EBF746A5"/>
    <w:rsid w:val="F6DEC141"/>
    <w:rsid w:val="F97F84F7"/>
    <w:rsid w:val="FB5FF7F3"/>
    <w:rsid w:val="FB75FDCE"/>
    <w:rsid w:val="FBFDB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val="0"/>
      <w:spacing w:before="0" w:after="120"/>
      <w:ind w:left="0" w:right="0"/>
      <w:jc w:val="both"/>
    </w:pPr>
    <w:rPr>
      <w:rFonts w:ascii="Times New Roman" w:hAnsi="Times New Roman" w:eastAsia="宋体" w:cs="Times New Roman"/>
      <w:kern w:val="2"/>
      <w:sz w:val="21"/>
      <w:szCs w:val="24"/>
      <w:lang w:val="en-US" w:eastAsia="zh-CN" w:bidi="ar-SA"/>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Char"/>
    <w:basedOn w:val="2"/>
    <w:qFormat/>
    <w:uiPriority w:val="0"/>
    <w:pPr>
      <w:spacing w:line="240" w:lineRule="atLeast"/>
      <w:jc w:val="left"/>
    </w:pPr>
    <w:rPr>
      <w:kern w:val="0"/>
      <w:sz w:val="24"/>
      <w:szCs w:val="21"/>
    </w:rPr>
  </w:style>
  <w:style w:type="paragraph" w:styleId="14">
    <w:name w:val="List Paragraph"/>
    <w:basedOn w:val="1"/>
    <w:qFormat/>
    <w:uiPriority w:val="0"/>
    <w:pPr>
      <w:widowControl/>
      <w:spacing w:before="0" w:after="200" w:line="276" w:lineRule="auto"/>
      <w:ind w:left="0" w:right="0" w:firstLine="420" w:firstLineChars="200"/>
      <w:jc w:val="left"/>
    </w:pPr>
    <w:rPr>
      <w:rFonts w:ascii="Calibri" w:hAnsi="Calibri" w:eastAsia="宋体" w:cs="Times New Roman"/>
      <w:kern w:val="0"/>
      <w:sz w:val="22"/>
      <w:szCs w:val="22"/>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Words>
  <Characters>14</Characters>
  <Lines>1</Lines>
  <Paragraphs>1</Paragraphs>
  <TotalTime>6</TotalTime>
  <ScaleCrop>false</ScaleCrop>
  <LinksUpToDate>false</LinksUpToDate>
  <CharactersWithSpaces>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2020-03-16T00:52:00Z</dcterms:created>
  <dc:creator>微软用户</dc:creator>
  <cp:lastModifiedBy>kylin</cp:lastModifiedBy>
  <cp:lastPrinted>2021-03-19T08:26:00Z</cp:lastPrinted>
  <dcterms:modified xsi:type="dcterms:W3CDTF">2022-02-15T10:47:53Z</dcterms:modified>
  <dc:title>关于对《农药管理条例（修订草案第三次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