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DAAD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80BBA6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6111C1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4346D1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ABF2D9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CA8BAF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D2D087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F4A886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280379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天津市蓟州区农业发展服务中心</w:t>
      </w:r>
    </w:p>
    <w:p w14:paraId="44258D0B">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2023年度部门决算</w:t>
      </w:r>
    </w:p>
    <w:p w14:paraId="1449DA68">
      <w:pPr>
        <w:autoSpaceDE w:val="0"/>
        <w:autoSpaceDN w:val="0"/>
        <w:adjustRightInd w:val="0"/>
        <w:spacing w:line="580" w:lineRule="exact"/>
        <w:jc w:val="center"/>
        <w:rPr>
          <w:rFonts w:ascii="Times New Roman" w:hAnsi="Times New Roman" w:eastAsia="黑体" w:cs="黑体"/>
          <w:sz w:val="30"/>
          <w:szCs w:val="30"/>
          <w:highlight w:val="none"/>
        </w:rPr>
      </w:pPr>
    </w:p>
    <w:p w14:paraId="7E69A09F">
      <w:pPr>
        <w:autoSpaceDE w:val="0"/>
        <w:autoSpaceDN w:val="0"/>
        <w:adjustRightInd w:val="0"/>
        <w:spacing w:line="580" w:lineRule="exact"/>
        <w:jc w:val="center"/>
        <w:rPr>
          <w:rFonts w:ascii="Times New Roman" w:hAnsi="Times New Roman" w:eastAsia="黑体" w:cs="黑体"/>
          <w:sz w:val="30"/>
          <w:szCs w:val="30"/>
          <w:highlight w:val="none"/>
        </w:rPr>
      </w:pPr>
    </w:p>
    <w:p w14:paraId="0CAEB582">
      <w:pPr>
        <w:autoSpaceDE w:val="0"/>
        <w:autoSpaceDN w:val="0"/>
        <w:adjustRightInd w:val="0"/>
        <w:spacing w:line="580" w:lineRule="exact"/>
        <w:jc w:val="center"/>
        <w:rPr>
          <w:rFonts w:ascii="Times New Roman" w:hAnsi="Times New Roman" w:eastAsia="黑体" w:cs="黑体"/>
          <w:sz w:val="30"/>
          <w:szCs w:val="30"/>
          <w:highlight w:val="none"/>
        </w:rPr>
      </w:pPr>
    </w:p>
    <w:p w14:paraId="46EC6CF3">
      <w:pPr>
        <w:autoSpaceDE w:val="0"/>
        <w:autoSpaceDN w:val="0"/>
        <w:adjustRightInd w:val="0"/>
        <w:spacing w:line="580" w:lineRule="exact"/>
        <w:jc w:val="center"/>
        <w:rPr>
          <w:rFonts w:ascii="Times New Roman" w:hAnsi="Times New Roman" w:eastAsia="黑体" w:cs="黑体"/>
          <w:sz w:val="30"/>
          <w:szCs w:val="30"/>
          <w:highlight w:val="none"/>
        </w:rPr>
      </w:pPr>
    </w:p>
    <w:p w14:paraId="312B4E3E">
      <w:pPr>
        <w:autoSpaceDE w:val="0"/>
        <w:autoSpaceDN w:val="0"/>
        <w:adjustRightInd w:val="0"/>
        <w:spacing w:line="580" w:lineRule="exact"/>
        <w:jc w:val="center"/>
        <w:rPr>
          <w:rFonts w:ascii="Times New Roman" w:hAnsi="Times New Roman" w:eastAsia="黑体" w:cs="黑体"/>
          <w:sz w:val="30"/>
          <w:szCs w:val="30"/>
          <w:highlight w:val="none"/>
        </w:rPr>
      </w:pPr>
    </w:p>
    <w:p w14:paraId="5FA03BC5">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247B68A5">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6CDC3B19">
      <w:pPr>
        <w:autoSpaceDE w:val="0"/>
        <w:autoSpaceDN w:val="0"/>
        <w:adjustRightInd w:val="0"/>
        <w:spacing w:line="600" w:lineRule="exact"/>
        <w:jc w:val="left"/>
        <w:rPr>
          <w:rFonts w:ascii="Times New Roman" w:hAnsi="Times New Roman" w:eastAsia="黑体" w:cs="黑体"/>
          <w:kern w:val="0"/>
          <w:sz w:val="30"/>
          <w:szCs w:val="30"/>
          <w:highlight w:val="none"/>
        </w:rPr>
      </w:pPr>
    </w:p>
    <w:p w14:paraId="665BCDA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3763F39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78552B5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7E01FF3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0304506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5C43259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03CD710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13E22F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79EE2BA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4D790E0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463BE2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68F635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085080D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6A3DAD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585222B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6BA5BA3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795A1ED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3C21A09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1838102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22F8F1D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7383A5C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7A0411A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46F9333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75DF868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4285436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25802F6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3490A13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305CA82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617798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7AECEC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7CA24EE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2DF813D0">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4EAB6209">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63C7D4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3AEFAF78">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4504A60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主要职责是为全区农业发展提供服务，负责农业生产、安全生产、农机化管理、科技成果转化、农业技术推广、农机监测服务、农业植保、良种示范繁育推广、物业服务、全区农业机械技术培训等。</w:t>
      </w:r>
    </w:p>
    <w:p w14:paraId="6B9E956F">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71AA2F1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内设12个职能科室，主要包括：党建办公室、办公室、计划财务科、安全生产科、农业生产科、农机化管理科、农业技术推广站、农机监测服务站、植保站、良种示范繁育推广站、物业服务站；下辖2个预算单位。纳入天津市蓟州区农业发展服务中心2023年度部门决算编制范围的单位包括：</w:t>
      </w:r>
    </w:p>
    <w:p w14:paraId="16537E37">
      <w:pPr>
        <w:autoSpaceDE w:val="0"/>
        <w:autoSpaceDN w:val="0"/>
        <w:adjustRightInd w:val="0"/>
        <w:spacing w:line="600" w:lineRule="exact"/>
        <w:ind w:left="937" w:leftChars="426" w:hanging="42" w:hangingChars="14"/>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1.天津市蓟州区农业发展服务中心本级</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2.天津市农业广播电视学校蓟州区分校</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3.天津市蓟州区农机学校</w:t>
      </w:r>
    </w:p>
    <w:p w14:paraId="54C7230D">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73B040A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3ED77C8E">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14BB47E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1D367DE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06E7A6F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402C85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3C69918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3087E70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59BED3B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4CDE6A8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E676E9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108AFBA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412DA41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3E26DE8E">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31A137D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 xml:space="preserve">1.天津市蓟州区农业发展服务中心（本级）2023年度国有资本经营预算财政拨款收入支出决算表为空表。 </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2.天津市蓟州区农业发展服务中心（本级）2023年财政拨款“三公”经费支出决算表为空。</w:t>
      </w:r>
    </w:p>
    <w:p w14:paraId="11A9C25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5F0AA9F">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B5EAB73">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8313C8E">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64032C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5DBBDF7">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6A982D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8870CB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E853D20">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E94631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50CA7C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B8784B0">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40833B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20394FC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B74249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1822DC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A5A4C55">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017F522C">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641BE94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1336F01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天津市蓟州区农业发展服务中心2023年度收入、支出决算总计</w:t>
      </w:r>
      <w:r>
        <w:rPr>
          <w:rFonts w:hint="eastAsia" w:ascii="Times New Roman" w:hAnsi="Times New Roman" w:eastAsia="仿宋_GB2312" w:cs="仿宋_GB2312"/>
          <w:sz w:val="30"/>
          <w:szCs w:val="30"/>
          <w:highlight w:val="none"/>
          <w:lang w:eastAsia="zh-CN"/>
        </w:rPr>
        <w:t>97,424,658.98元，与2022年度相比，收、支总计各减少85,506,425.67元，下降46.74%，</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：实际种粮农民一次性补贴、耕地地力保护补贴和农机购置与应用补贴等项目经费减少。</w:t>
      </w:r>
    </w:p>
    <w:p w14:paraId="04B2F93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154EAC8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天津市蓟州区农业发展服务中心</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97,424,658.98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减少85,506,425.67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实际种粮农民一次性补贴、耕地地力保护补贴和农机购置与应用补贴等项目经费减少。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94,997,396.84</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97.51</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2,427,262.14元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2.49%</w:t>
      </w:r>
      <w:r>
        <w:rPr>
          <w:rFonts w:hint="eastAsia" w:ascii="Times New Roman" w:hAnsi="Times New Roman" w:eastAsia="仿宋_GB2312" w:cs="仿宋_GB2312"/>
          <w:sz w:val="30"/>
          <w:szCs w:val="30"/>
          <w:highlight w:val="none"/>
          <w:lang w:val="zh-CN" w:eastAsia="zh-CN"/>
        </w:rPr>
        <w:t>。</w:t>
      </w:r>
    </w:p>
    <w:p w14:paraId="64D52FA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21C6CF48">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天津市蓟州区农业发展服务中心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97,424,658.98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85,506,425.67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实际种粮农民一次性补贴、耕地地力保护补贴和农机购置与应用补贴等项目经费减少。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32,267,185.84元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33.12</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65,157,473.14元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占66.88%。</w:t>
      </w:r>
    </w:p>
    <w:p w14:paraId="35A9A77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00827C33">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天津市蓟州区农业发展服务中心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97,424,658.98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85,506,425.67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46.74</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实际种粮农民一次性补贴、耕地地力保护补贴和农机购置与应用补贴等项目经费减少。</w:t>
      </w:r>
    </w:p>
    <w:p w14:paraId="536F6D4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32EF553D">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4DC0D594">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计94,997,396.84元，占本年支出合计的97.51%，与2022年度相比，一般公共预算财政拨款支出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87,933,687.81元，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48.07%，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：实际种粮农民一次性补贴、耕地地力保护补贴和农机购置与应用补贴等项目经费减少。</w:t>
      </w:r>
    </w:p>
    <w:p w14:paraId="310DFFA5">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6563C0B1">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94,997,396.84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社会保障和就业支出（类）3,323,476.65元，占3%；卫生健康支出（类）1,538,319.46元，占2%；农林水支出（类）90,135,600.73元，占95%。</w:t>
      </w:r>
    </w:p>
    <w:p w14:paraId="42CD9972">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7845329D">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113,718,869.49</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94,997,396.84</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83.54%</w:t>
      </w:r>
      <w:r>
        <w:rPr>
          <w:rFonts w:hint="eastAsia" w:ascii="Times New Roman" w:hAnsi="Times New Roman" w:eastAsia="仿宋_GB2312" w:cs="仿宋_GB2312"/>
          <w:kern w:val="0"/>
          <w:sz w:val="30"/>
          <w:szCs w:val="30"/>
          <w:highlight w:val="none"/>
        </w:rPr>
        <w:t>。其中：</w:t>
      </w:r>
    </w:p>
    <w:p w14:paraId="28D5CD3F">
      <w:pPr>
        <w:numPr>
          <w:ilvl w:val="0"/>
          <w:numId w:val="1"/>
        </w:num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为2,414,364.14元，支出决算为2,145,108.64元，完成年初预算的88.85%，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2.社会保障和就业支出（类）行政事业单位养老支出（款）机关事业单位职业年金缴费支出（项）年初预算为1,207,182.07元，支出决算为1,136,692.01元，完成年初预算的94.16%，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3.社会保障和就业支出（类）抚恤（款）死亡抚恤（项）年初预算为0元，支出决算为41,676元，决算数大于年初预算数的主要原因是对本年度职工去世抚恤金和职工家属去世丧葬费进行了预算资金的调剂。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4.卫生健康支出（类）行政事业单位医疗（款）行政单位医疗（项）年初预算为36,560.4元，支出决算为29,214.12元，完成年初预算的</w:t>
      </w:r>
      <w:r>
        <w:rPr>
          <w:rFonts w:hint="eastAsia" w:ascii="Times New Roman" w:hAnsi="Times New Roman" w:eastAsia="仿宋_GB2312" w:cs="仿宋_GB2312"/>
          <w:sz w:val="30"/>
          <w:szCs w:val="30"/>
          <w:highlight w:val="none"/>
          <w:lang w:val="en-US" w:eastAsia="zh-CN"/>
        </w:rPr>
        <w:t>79.91</w:t>
      </w:r>
      <w:r>
        <w:rPr>
          <w:rFonts w:hint="eastAsia" w:ascii="Times New Roman" w:hAnsi="Times New Roman" w:eastAsia="仿宋_GB2312" w:cs="仿宋_GB2312"/>
          <w:sz w:val="30"/>
          <w:szCs w:val="30"/>
          <w:highlight w:val="none"/>
          <w:lang w:eastAsia="zh-CN"/>
        </w:rPr>
        <w:t>%，决算数小于年初预算数的主要原因是人员退休、在职人员减少对预算资金进行了调剂。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5.卫生健康支出（类）行政事业单位医疗（款）事业单位医疗（项）年初预算为1,472,417.19元，支出决算为1,503,242.4元，完成年初预算的102.09%，决算数大于年初预算数的主要原因是离休人员医疗费进行了调剂。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6.卫生健康支出（类）行政事业单位医疗（款）公务员医疗补助（项）年初预算为7,312.08元，支出决算为5,862.94元，完成年初预算的80.18%，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7.农林水支出（类）农业农村（款）行政运行（项）年初预算为1,115,936.06元，支出决算为1,044,103.42元，完成年初预算的93.56%，决算数小于年初预算数的主要原因是人员退休、在职人员减少对预算资金进行了调剂。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8.农林水支出（类）农业农村（款）事业运行（项）年初预算为31,232,097.55元，支出决算为26,361,286.31元，完成年初预算的84.4%，决算数小于年初预算数的主要原因是人员退休、在职人员减少对预算资金进行了调剂。</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9.农林水支出（类）农业农村（款）农业生产发展（项）年初预算74,885,000元，支出决算为62,730,211元，决算数小于年初预算数的主要原因是对项目支出进行了预算资金的调剂。</w:t>
      </w:r>
    </w:p>
    <w:p w14:paraId="30787124">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10.</w:t>
      </w:r>
      <w:r>
        <w:rPr>
          <w:rFonts w:hint="eastAsia" w:ascii="Times New Roman" w:hAnsi="Times New Roman" w:eastAsia="仿宋_GB2312" w:cs="仿宋_GB2312"/>
          <w:sz w:val="30"/>
          <w:szCs w:val="30"/>
          <w:highlight w:val="none"/>
          <w:lang w:eastAsia="zh-CN"/>
        </w:rPr>
        <w:t>农林水支出（类）农业农村（款）农产品质量安全（项）年初预算</w:t>
      </w:r>
      <w:r>
        <w:rPr>
          <w:rFonts w:hint="eastAsia" w:ascii="Times New Roman" w:hAnsi="Times New Roman" w:eastAsia="仿宋_GB2312" w:cs="仿宋_GB2312"/>
          <w:sz w:val="30"/>
          <w:szCs w:val="30"/>
          <w:highlight w:val="none"/>
          <w:lang w:val="en-US" w:eastAsia="zh-CN"/>
        </w:rPr>
        <w:t>588,</w:t>
      </w:r>
      <w:r>
        <w:rPr>
          <w:rFonts w:hint="eastAsia" w:ascii="Times New Roman" w:hAnsi="Times New Roman" w:eastAsia="仿宋_GB2312" w:cs="仿宋_GB2312"/>
          <w:sz w:val="30"/>
          <w:szCs w:val="30"/>
          <w:highlight w:val="none"/>
          <w:lang w:eastAsia="zh-CN"/>
        </w:rPr>
        <w:t>000元，支出决算为</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元，决算数小于年初预算数的主要原因是对项目支出进行了预算资金的调剂。</w:t>
      </w:r>
    </w:p>
    <w:p w14:paraId="5FA99BF1">
      <w:pPr>
        <w:numPr>
          <w:ilvl w:val="0"/>
          <w:numId w:val="0"/>
        </w:num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11.</w:t>
      </w:r>
      <w:r>
        <w:rPr>
          <w:rFonts w:hint="eastAsia" w:ascii="Times New Roman" w:hAnsi="Times New Roman" w:eastAsia="仿宋_GB2312" w:cs="仿宋_GB2312"/>
          <w:sz w:val="30"/>
          <w:szCs w:val="30"/>
          <w:highlight w:val="none"/>
          <w:lang w:eastAsia="zh-CN"/>
        </w:rPr>
        <w:t>农林水支出（类）农业农村（款）农业资源保护修复与利用（项）年初预算</w:t>
      </w:r>
      <w:r>
        <w:rPr>
          <w:rFonts w:hint="eastAsia" w:ascii="Times New Roman" w:hAnsi="Times New Roman" w:eastAsia="仿宋_GB2312" w:cs="仿宋_GB2312"/>
          <w:sz w:val="30"/>
          <w:szCs w:val="30"/>
          <w:highlight w:val="none"/>
          <w:lang w:val="en-US" w:eastAsia="zh-CN"/>
        </w:rPr>
        <w:t>760,</w:t>
      </w:r>
      <w:r>
        <w:rPr>
          <w:rFonts w:hint="eastAsia" w:ascii="Times New Roman" w:hAnsi="Times New Roman" w:eastAsia="仿宋_GB2312" w:cs="仿宋_GB2312"/>
          <w:sz w:val="30"/>
          <w:szCs w:val="30"/>
          <w:highlight w:val="none"/>
          <w:lang w:eastAsia="zh-CN"/>
        </w:rPr>
        <w:t>000元，支出决算为</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元，决算数小于年初预算数的主要原因是对项目支出进行了预算资金的调剂。</w:t>
      </w:r>
    </w:p>
    <w:p w14:paraId="05F824C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27BBC59E">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天津市蓟州区农业发展服务中心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32,267,185.84</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3,750,367.76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人员退休、在职人员减少对预算资金进行了调剂。</w:t>
      </w:r>
      <w:r>
        <w:rPr>
          <w:rFonts w:hint="eastAsia" w:ascii="Times New Roman" w:hAnsi="Times New Roman" w:eastAsia="仿宋_GB2312" w:cs="仿宋_GB2312"/>
          <w:kern w:val="0"/>
          <w:sz w:val="30"/>
          <w:szCs w:val="30"/>
          <w:highlight w:val="none"/>
        </w:rPr>
        <w:t>其中：</w:t>
      </w:r>
    </w:p>
    <w:p w14:paraId="6601ECDB">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32,225,585.84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奖励金。</w:t>
      </w:r>
    </w:p>
    <w:p w14:paraId="6A7007FC">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41,600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办公费、差旅费、其他交通费用。</w:t>
      </w:r>
    </w:p>
    <w:p w14:paraId="0C986E6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4EB18A30">
      <w:pPr>
        <w:autoSpaceDE w:val="0"/>
        <w:autoSpaceDN w:val="0"/>
        <w:adjustRightInd w:val="0"/>
        <w:spacing w:line="58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天津市蓟州区农业发展服务中心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年度部门决算政府性基金预算财政拨款</w:t>
      </w:r>
      <w:r>
        <w:rPr>
          <w:rFonts w:hint="eastAsia" w:ascii="Times New Roman" w:hAnsi="Times New Roman" w:eastAsia="仿宋_GB2312" w:cs="仿宋_GB2312"/>
          <w:kern w:val="0"/>
          <w:sz w:val="30"/>
          <w:szCs w:val="30"/>
          <w:highlight w:val="none"/>
        </w:rPr>
        <w:t>年初结转和结余</w:t>
      </w:r>
      <w:r>
        <w:rPr>
          <w:rFonts w:hint="eastAsia" w:ascii="Times New Roman" w:hAnsi="Times New Roman" w:eastAsia="仿宋_GB2312" w:cs="Times New Roman"/>
          <w:sz w:val="30"/>
          <w:szCs w:val="30"/>
          <w:highlight w:val="none"/>
          <w:lang w:eastAsia="zh-CN"/>
        </w:rPr>
        <w:t>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2,427,262.14</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rPr>
        <w:t>支出</w:t>
      </w:r>
      <w:r>
        <w:rPr>
          <w:rFonts w:hint="eastAsia" w:ascii="Times New Roman" w:hAnsi="Times New Roman" w:eastAsia="仿宋_GB2312" w:cs="Times New Roman"/>
          <w:sz w:val="30"/>
          <w:szCs w:val="30"/>
          <w:highlight w:val="none"/>
          <w:lang w:eastAsia="zh-CN"/>
        </w:rPr>
        <w:t>2,427,262.14</w:t>
      </w:r>
      <w:r>
        <w:rPr>
          <w:rFonts w:hint="eastAsia" w:ascii="Times New Roman" w:hAnsi="Times New Roman" w:eastAsia="仿宋_GB2312" w:cs="仿宋_GB2312"/>
          <w:sz w:val="30"/>
          <w:szCs w:val="30"/>
          <w:highlight w:val="none"/>
        </w:rPr>
        <w:t>元，年末结转和结余</w:t>
      </w:r>
      <w:r>
        <w:rPr>
          <w:rFonts w:hint="eastAsia" w:ascii="Times New Roman" w:hAnsi="Times New Roman" w:eastAsia="仿宋_GB2312" w:cs="Times New Roman"/>
          <w:sz w:val="30"/>
          <w:szCs w:val="30"/>
          <w:highlight w:val="none"/>
          <w:lang w:eastAsia="zh-CN"/>
        </w:rPr>
        <w:t>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年度相比，政府性基金财政拨款支出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2,427,262.14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r>
        <w:rPr>
          <w:rFonts w:hint="eastAsia" w:ascii="Times New Roman" w:hAnsi="Times New Roman" w:eastAsia="仿宋_GB2312" w:cs="仿宋_GB2312"/>
          <w:sz w:val="30"/>
          <w:szCs w:val="30"/>
          <w:highlight w:val="none"/>
          <w:lang w:eastAsia="zh-CN"/>
        </w:rPr>
        <w:t>对项目支出进行了预算资金的调剂。</w:t>
      </w:r>
    </w:p>
    <w:p w14:paraId="4C837E4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4A4F2A8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天津市蓟州区农业发展服务中心2023年度无国有资本经营预算财政拨款收入、支出和结转结余。</w:t>
      </w:r>
    </w:p>
    <w:p w14:paraId="77BE7FF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5E282FD2">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04D4840">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15,085</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严格落实八项规定，厉行节约。</w:t>
      </w:r>
    </w:p>
    <w:p w14:paraId="3A14D73E">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1C0DE1E6">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本年度未用财政拨款经费列支因公出国（境）费。</w:t>
      </w:r>
    </w:p>
    <w:p w14:paraId="7259ABAB">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2AA86D48">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15,085</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kern w:val="0"/>
          <w:sz w:val="30"/>
          <w:szCs w:val="30"/>
          <w:highlight w:val="none"/>
        </w:rPr>
        <w:t>其中：</w:t>
      </w:r>
    </w:p>
    <w:p w14:paraId="0BB9994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15,085</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严格落实八项规定，厉行节约</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严格落实八项规定，厉行节约。</w:t>
      </w:r>
    </w:p>
    <w:p w14:paraId="4724B0CE">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79E5D16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本年度未用财政拨款经费列支公务用车购置费。</w:t>
      </w:r>
    </w:p>
    <w:p w14:paraId="2649BFE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607D818A">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本年度未用财政拨款经费列支公务接待费。</w:t>
      </w:r>
    </w:p>
    <w:p w14:paraId="6D5E8C99">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E9349E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00F4C01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天津市蓟州区农业发展服务中心2023年度无机关运行经费。</w:t>
      </w:r>
    </w:p>
    <w:p w14:paraId="4D9D972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7D9DF59A">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天津市蓟州区农业发展服务中心</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162,782</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162,782</w:t>
      </w:r>
      <w:r>
        <w:rPr>
          <w:rFonts w:hint="eastAsia" w:ascii="Times New Roman" w:hAnsi="Times New Roman" w:eastAsia="仿宋_GB2312" w:cs="仿宋_GB2312"/>
          <w:color w:val="000000"/>
          <w:kern w:val="0"/>
          <w:sz w:val="30"/>
          <w:szCs w:val="30"/>
          <w:highlight w:val="none"/>
        </w:rPr>
        <w:t>元</w:t>
      </w:r>
      <w:r>
        <w:rPr>
          <w:rFonts w:hint="eastAsia" w:ascii="Times New Roman" w:hAnsi="Times New Roman" w:eastAsia="仿宋_GB2312" w:cs="仿宋_GB2312"/>
          <w:color w:val="000000"/>
          <w:kern w:val="0"/>
          <w:sz w:val="30"/>
          <w:szCs w:val="30"/>
          <w:highlight w:val="none"/>
          <w:lang w:eastAsia="zh-CN"/>
        </w:rPr>
        <w:t>。</w:t>
      </w:r>
      <w:r>
        <w:rPr>
          <w:rFonts w:hint="eastAsia" w:ascii="Times New Roman" w:hAnsi="Times New Roman" w:eastAsia="仿宋_GB2312" w:cs="仿宋_GB2312"/>
          <w:color w:val="000000"/>
          <w:kern w:val="0"/>
          <w:sz w:val="30"/>
          <w:szCs w:val="30"/>
          <w:highlight w:val="none"/>
        </w:rPr>
        <w:t>授予中小企业合同金额</w:t>
      </w:r>
      <w:r>
        <w:rPr>
          <w:rFonts w:hint="eastAsia" w:ascii="Times New Roman" w:hAnsi="Times New Roman" w:eastAsia="仿宋_GB2312" w:cs="Times New Roman"/>
          <w:kern w:val="0"/>
          <w:sz w:val="30"/>
          <w:szCs w:val="30"/>
          <w:highlight w:val="none"/>
          <w:lang w:eastAsia="zh-CN"/>
        </w:rPr>
        <w:t>162,782</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162,782</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w:t>
      </w:r>
    </w:p>
    <w:p w14:paraId="4DBCBE0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297E5475">
      <w:pPr>
        <w:autoSpaceDE w:val="0"/>
        <w:autoSpaceDN w:val="0"/>
        <w:adjustRightInd w:val="0"/>
        <w:spacing w:line="600" w:lineRule="exact"/>
        <w:ind w:firstLine="720"/>
        <w:jc w:val="left"/>
        <w:rPr>
          <w:rFonts w:ascii="Times New Roman" w:hAnsi="Times New Roman" w:eastAsia="仿宋_GB2312" w:cs="Times New Roman"/>
          <w:color w:val="000000"/>
          <w:kern w:val="0"/>
          <w:sz w:val="30"/>
          <w:szCs w:val="30"/>
          <w:highlight w:val="none"/>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天津市蓟州区农业发展服务中心</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5</w:t>
      </w:r>
      <w:r>
        <w:rPr>
          <w:rFonts w:hint="eastAsia" w:ascii="Times New Roman" w:hAnsi="Times New Roman" w:eastAsia="仿宋_GB2312" w:cs="仿宋_GB2312"/>
          <w:color w:val="000000"/>
          <w:kern w:val="0"/>
          <w:sz w:val="30"/>
          <w:szCs w:val="30"/>
          <w:highlight w:val="none"/>
        </w:rPr>
        <w:t>辆</w:t>
      </w:r>
      <w:r>
        <w:rPr>
          <w:rFonts w:hint="eastAsia" w:ascii="Times New Roman" w:hAnsi="Times New Roman" w:eastAsia="仿宋_GB2312" w:cs="仿宋_GB2312"/>
          <w:color w:val="000000"/>
          <w:kern w:val="0"/>
          <w:sz w:val="30"/>
          <w:szCs w:val="30"/>
          <w:highlight w:val="none"/>
          <w:lang w:eastAsia="zh-CN"/>
        </w:rPr>
        <w:t>，</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2</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执法执勤用车</w:t>
      </w:r>
      <w:r>
        <w:rPr>
          <w:rFonts w:hint="eastAsia" w:ascii="Times New Roman" w:hAnsi="Times New Roman" w:eastAsia="仿宋_GB2312" w:cs="Times New Roman"/>
          <w:kern w:val="0"/>
          <w:sz w:val="30"/>
          <w:szCs w:val="30"/>
          <w:highlight w:val="none"/>
          <w:lang w:eastAsia="zh-CN"/>
        </w:rPr>
        <w:t>1</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特种专业技术用车</w:t>
      </w:r>
      <w:r>
        <w:rPr>
          <w:rFonts w:hint="eastAsia" w:ascii="Times New Roman" w:hAnsi="Times New Roman" w:eastAsia="仿宋_GB2312" w:cs="Times New Roman"/>
          <w:kern w:val="0"/>
          <w:sz w:val="30"/>
          <w:szCs w:val="30"/>
          <w:highlight w:val="none"/>
          <w:lang w:eastAsia="zh-CN"/>
        </w:rPr>
        <w:t>1</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其他用车</w:t>
      </w:r>
      <w:r>
        <w:rPr>
          <w:rFonts w:hint="eastAsia" w:ascii="Times New Roman" w:hAnsi="Times New Roman" w:eastAsia="仿宋_GB2312" w:cs="Times New Roman"/>
          <w:kern w:val="0"/>
          <w:sz w:val="30"/>
          <w:szCs w:val="30"/>
          <w:highlight w:val="none"/>
          <w:lang w:eastAsia="zh-CN"/>
        </w:rPr>
        <w:t>1</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Times New Roman"/>
          <w:kern w:val="0"/>
          <w:sz w:val="30"/>
          <w:szCs w:val="30"/>
          <w:highlight w:val="none"/>
        </w:rPr>
        <w:t>，其他用车主要包括</w:t>
      </w:r>
      <w:r>
        <w:rPr>
          <w:rFonts w:hint="eastAsia" w:ascii="Times New Roman" w:hAnsi="Times New Roman" w:eastAsia="仿宋_GB2312" w:cs="仿宋_GB2312"/>
          <w:sz w:val="30"/>
          <w:szCs w:val="30"/>
          <w:highlight w:val="none"/>
          <w:lang w:eastAsia="zh-CN"/>
        </w:rPr>
        <w:t>接待处置特种专业技术用车1辆</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2</w:t>
      </w:r>
      <w:r>
        <w:rPr>
          <w:rFonts w:hint="eastAsia" w:ascii="Times New Roman" w:hAnsi="Times New Roman" w:eastAsia="仿宋_GB2312" w:cs="仿宋_GB2312"/>
          <w:kern w:val="0"/>
          <w:sz w:val="30"/>
          <w:szCs w:val="30"/>
          <w:highlight w:val="none"/>
        </w:rPr>
        <w:t>台（套）。</w:t>
      </w:r>
    </w:p>
    <w:p w14:paraId="0F5B7DB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bookmarkStart w:id="0" w:name="_GoBack"/>
      <w:bookmarkEnd w:id="0"/>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685BCB1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根据预算绩效管理要求，天津市蓟州区农业发展服务中心2023年度已对7个项目开展绩效自评，涉及金额65,157,473.14元，自评结果已随单位决算一并公开；本部门2023年未开展部门评价。</w:t>
      </w:r>
    </w:p>
    <w:p w14:paraId="4D13813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107FA51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农业发展服务中心2023年度涉农补贴支出62,700,211元，其中实际种粮农民一次性补贴4,768,000元，补贴面积84.84万亩；耕地地力保护补贴57,932,211元，补贴面积60.98万亩；涉农补贴资金全部通过一卡通发放到农户手中。</w:t>
      </w:r>
    </w:p>
    <w:p w14:paraId="3AE5EE2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68AE2FAC">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000060F6">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0D7FFCC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3781948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822729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A7463CA">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207E4F"/>
    <w:multiLevelType w:val="singleLevel"/>
    <w:tmpl w:val="50207E4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1OTU5YmI3MDc2NDExMzBjYTBlZGU0YmRlNTg5Mjc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2F41F16"/>
    <w:rsid w:val="23736675"/>
    <w:rsid w:val="24B227A0"/>
    <w:rsid w:val="25BA7C7E"/>
    <w:rsid w:val="2666570F"/>
    <w:rsid w:val="26DB4B05"/>
    <w:rsid w:val="271B299E"/>
    <w:rsid w:val="27DD7C53"/>
    <w:rsid w:val="284E3F62"/>
    <w:rsid w:val="28612632"/>
    <w:rsid w:val="2A924D25"/>
    <w:rsid w:val="2B960C4A"/>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03368C"/>
    <w:rsid w:val="332D3FC0"/>
    <w:rsid w:val="352A0F41"/>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B62F07"/>
    <w:rsid w:val="40CF0629"/>
    <w:rsid w:val="4137238C"/>
    <w:rsid w:val="41CC0838"/>
    <w:rsid w:val="433A7DDD"/>
    <w:rsid w:val="43612B5A"/>
    <w:rsid w:val="43805C0B"/>
    <w:rsid w:val="43B835F7"/>
    <w:rsid w:val="44552CED"/>
    <w:rsid w:val="44EB17AA"/>
    <w:rsid w:val="45984C48"/>
    <w:rsid w:val="47727F60"/>
    <w:rsid w:val="485D29BF"/>
    <w:rsid w:val="49374433"/>
    <w:rsid w:val="49DA103E"/>
    <w:rsid w:val="4A2319E6"/>
    <w:rsid w:val="4A4731CD"/>
    <w:rsid w:val="4A8E57CD"/>
    <w:rsid w:val="4C7622A1"/>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2901F7F"/>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1708CE"/>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4956</Words>
  <Characters>5800</Characters>
  <Lines>82</Lines>
  <Paragraphs>23</Paragraphs>
  <TotalTime>17</TotalTime>
  <ScaleCrop>false</ScaleCrop>
  <LinksUpToDate>false</LinksUpToDate>
  <CharactersWithSpaces>5859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2024-10-14T03:04:47Z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12580954C3104706BD6418B77DE2D38D_13</vt:lpwstr>
  </property>
</Properties>
</file>