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napToGrid w:val="0"/>
        <w:spacing w:after="150" w:afterAutospacing="0"/>
        <w:jc w:val="center"/>
        <w:rPr>
          <w:rFonts w:hint="eastAsia" w:ascii="宋体" w:hAnsi="宋体" w:eastAsia="宋体" w:cs="宋体"/>
          <w:color w:val="555555"/>
          <w:sz w:val="24"/>
          <w:szCs w:val="24"/>
        </w:rPr>
      </w:pPr>
      <w:bookmarkStart w:id="0" w:name="_GoBack"/>
      <w:r>
        <w:rPr>
          <w:rFonts w:hint="eastAsia" w:ascii="宋体" w:hAnsi="宋体" w:eastAsia="宋体" w:cs="宋体"/>
          <w:b/>
          <w:color w:val="555555"/>
          <w:sz w:val="44"/>
          <w:szCs w:val="44"/>
          <w:bdr w:val="none" w:color="auto" w:sz="0" w:space="0"/>
        </w:rPr>
        <w:t>天津市蓟州区关于加强高水平体育</w:t>
      </w:r>
    </w:p>
    <w:p>
      <w:pPr>
        <w:pStyle w:val="2"/>
        <w:keepNext w:val="0"/>
        <w:keepLines w:val="0"/>
        <w:widowControl/>
        <w:suppressLineNumbers w:val="0"/>
        <w:snapToGrid w:val="0"/>
        <w:spacing w:after="150" w:afterAutospacing="0"/>
        <w:jc w:val="center"/>
        <w:rPr>
          <w:rFonts w:hint="eastAsia" w:ascii="宋体" w:hAnsi="宋体" w:eastAsia="宋体" w:cs="宋体"/>
          <w:color w:val="555555"/>
          <w:sz w:val="24"/>
          <w:szCs w:val="24"/>
        </w:rPr>
      </w:pPr>
      <w:r>
        <w:rPr>
          <w:rFonts w:hint="eastAsia" w:ascii="宋体" w:hAnsi="宋体" w:eastAsia="宋体" w:cs="宋体"/>
          <w:b/>
          <w:color w:val="555555"/>
          <w:sz w:val="44"/>
          <w:szCs w:val="44"/>
          <w:bdr w:val="none" w:color="auto" w:sz="0" w:space="0"/>
        </w:rPr>
        <w:t>后备人才培养工作的激励办法</w:t>
      </w:r>
    </w:p>
    <w:bookmarkEnd w:id="0"/>
    <w:p>
      <w:pPr>
        <w:pStyle w:val="2"/>
        <w:keepNext w:val="0"/>
        <w:keepLines w:val="0"/>
        <w:widowControl/>
        <w:suppressLineNumbers w:val="0"/>
        <w:snapToGrid w:val="0"/>
        <w:spacing w:after="0" w:afterAutospacing="0"/>
        <w:ind w:left="0" w:firstLine="480"/>
        <w:jc w:val="center"/>
        <w:rPr>
          <w:rFonts w:hint="eastAsia" w:ascii="宋体" w:hAnsi="宋体" w:eastAsia="宋体" w:cs="宋体"/>
          <w:color w:val="555555"/>
          <w:sz w:val="24"/>
          <w:szCs w:val="24"/>
        </w:rPr>
      </w:pPr>
      <w:r>
        <w:rPr>
          <w:rFonts w:ascii="楷体" w:hAnsi="楷体" w:eastAsia="楷体" w:cs="楷体"/>
          <w:b/>
          <w:color w:val="555555"/>
          <w:sz w:val="32"/>
          <w:szCs w:val="32"/>
          <w:bdr w:val="none" w:color="auto" w:sz="0" w:space="0"/>
        </w:rPr>
        <w:t>第一章</w:t>
      </w:r>
      <w:r>
        <w:rPr>
          <w:rFonts w:hint="eastAsia" w:ascii="楷体" w:hAnsi="楷体" w:eastAsia="楷体" w:cs="楷体"/>
          <w:b/>
          <w:color w:val="555555"/>
          <w:sz w:val="32"/>
          <w:szCs w:val="32"/>
          <w:bdr w:val="none" w:color="auto" w:sz="0" w:space="0"/>
        </w:rPr>
        <w:t xml:space="preserve"> 总则</w:t>
      </w:r>
    </w:p>
    <w:p>
      <w:pPr>
        <w:pStyle w:val="2"/>
        <w:keepNext w:val="0"/>
        <w:keepLines w:val="0"/>
        <w:widowControl/>
        <w:suppressLineNumbers w:val="0"/>
        <w:snapToGrid w:val="0"/>
        <w:spacing w:after="0" w:afterAutospacing="0"/>
        <w:jc w:val="left"/>
        <w:rPr>
          <w:rFonts w:hint="eastAsia" w:ascii="宋体" w:hAnsi="宋体" w:eastAsia="宋体" w:cs="宋体"/>
          <w:color w:val="555555"/>
          <w:sz w:val="24"/>
          <w:szCs w:val="24"/>
        </w:rPr>
      </w:pPr>
      <w:r>
        <w:rPr>
          <w:rFonts w:ascii="仿宋" w:hAnsi="仿宋" w:eastAsia="仿宋" w:cs="仿宋"/>
          <w:color w:val="555555"/>
          <w:sz w:val="32"/>
          <w:szCs w:val="32"/>
          <w:bdr w:val="none" w:color="auto" w:sz="0" w:space="0"/>
        </w:rPr>
        <w:t>    </w:t>
      </w:r>
      <w:r>
        <w:rPr>
          <w:rFonts w:hint="eastAsia" w:ascii="仿宋" w:hAnsi="仿宋" w:eastAsia="仿宋" w:cs="仿宋"/>
          <w:color w:val="555555"/>
          <w:sz w:val="32"/>
          <w:szCs w:val="32"/>
          <w:bdr w:val="none" w:color="auto" w:sz="0" w:space="0"/>
        </w:rPr>
        <w:t>第一条 为提高我区青少年体育运动水平，加强我区竞技体育后备人才培养输送工作，充分调动教练员、社会兼职教练员、运动员及有关人员的积极性，根据《</w:t>
      </w:r>
      <w:r>
        <w:rPr>
          <w:rFonts w:hint="eastAsia" w:ascii="仿宋" w:hAnsi="仿宋" w:eastAsia="仿宋" w:cs="仿宋"/>
          <w:b w:val="0"/>
          <w:color w:val="555555"/>
          <w:sz w:val="32"/>
          <w:szCs w:val="32"/>
          <w:bdr w:val="none" w:color="auto" w:sz="0" w:space="0"/>
        </w:rPr>
        <w:t>天津市关于加强高水平体育后备人才培养工作的激励办法》，</w:t>
      </w:r>
      <w:r>
        <w:rPr>
          <w:rFonts w:hint="eastAsia" w:ascii="仿宋" w:hAnsi="仿宋" w:eastAsia="仿宋" w:cs="仿宋"/>
          <w:color w:val="333333"/>
          <w:sz w:val="32"/>
          <w:szCs w:val="32"/>
          <w:bdr w:val="none" w:color="auto" w:sz="0" w:space="0"/>
          <w:shd w:val="clear" w:fill="FFFFFF"/>
        </w:rPr>
        <w:t>鼓励我区运动员在国内重大比赛和天津市高水平比赛中奋力拼搏，取得优异成绩。</w:t>
      </w:r>
      <w:r>
        <w:rPr>
          <w:rFonts w:hint="eastAsia" w:ascii="仿宋" w:hAnsi="仿宋" w:eastAsia="仿宋" w:cs="仿宋"/>
          <w:color w:val="555555"/>
          <w:sz w:val="32"/>
          <w:szCs w:val="32"/>
          <w:bdr w:val="none" w:color="auto" w:sz="0" w:space="0"/>
        </w:rPr>
        <w:t>激励我区高水平体育后备人才培养输送的积极性，提高体育后备人才培养质量和效益，特制定本办法。</w:t>
      </w:r>
    </w:p>
    <w:p>
      <w:pPr>
        <w:pStyle w:val="2"/>
        <w:keepNext w:val="0"/>
        <w:keepLines w:val="0"/>
        <w:widowControl/>
        <w:suppressLineNumbers w:val="0"/>
        <w:snapToGrid w:val="0"/>
        <w:spacing w:after="0" w:afterAutospacing="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第二条  本办法适用于蓟州区体育局组织的代表区参加市运动会和市体育局竞赛计划的比赛中获得名次的运动员、教练员，适用于向天津市体育运动学校、市优秀运动队输送正式运动员的教练员、兼职教练员及有关人员。</w:t>
      </w:r>
    </w:p>
    <w:p>
      <w:pPr>
        <w:pStyle w:val="2"/>
        <w:keepNext w:val="0"/>
        <w:keepLines w:val="0"/>
        <w:widowControl/>
        <w:suppressLineNumbers w:val="0"/>
        <w:snapToGrid w:val="0"/>
        <w:spacing w:after="0" w:afterAutospacing="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第三条 高水平体育后备人才培养工作坚持有利于促进业余训练，有利于提高青少年运动技术水平，有利于市优秀运动队选材，有利于为奥运会、全运会作贡献的原则。</w:t>
      </w:r>
    </w:p>
    <w:p>
      <w:pPr>
        <w:pStyle w:val="2"/>
        <w:keepNext w:val="0"/>
        <w:keepLines w:val="0"/>
        <w:widowControl/>
        <w:suppressLineNumbers w:val="0"/>
        <w:snapToGrid w:val="0"/>
        <w:spacing w:after="0" w:afterAutospacing="0"/>
        <w:jc w:val="center"/>
        <w:rPr>
          <w:rFonts w:hint="eastAsia" w:ascii="宋体" w:hAnsi="宋体" w:eastAsia="宋体" w:cs="宋体"/>
          <w:color w:val="555555"/>
          <w:sz w:val="24"/>
          <w:szCs w:val="24"/>
        </w:rPr>
      </w:pPr>
      <w:r>
        <w:rPr>
          <w:rFonts w:hint="eastAsia" w:ascii="楷体" w:hAnsi="楷体" w:eastAsia="楷体" w:cs="楷体"/>
          <w:b/>
          <w:color w:val="555555"/>
          <w:sz w:val="32"/>
          <w:szCs w:val="32"/>
          <w:bdr w:val="none" w:color="auto" w:sz="0" w:space="0"/>
        </w:rPr>
        <w:t>第二章 激励机制</w:t>
      </w:r>
    </w:p>
    <w:p>
      <w:pPr>
        <w:pStyle w:val="2"/>
        <w:keepNext w:val="0"/>
        <w:keepLines w:val="0"/>
        <w:widowControl/>
        <w:suppressLineNumbers w:val="0"/>
        <w:snapToGrid w:val="0"/>
        <w:spacing w:after="0" w:afterAutospacing="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第四条 对培养输送高水平体育后备人才的社会机构按以下标准给予奖励, 专门用于激励培养高水平体育后备人才的教练员、兼职教练员（体育教师）。</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（一）每向天津市体育运动学校直接输送一名学生运动员，奖励标准为2000元；输送一名试训学生，奖励标准1000元。</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（二）每向我市优秀运动队直接输送一名运动员，奖励标准为4000元；输送一名试训学生，奖励标准1000元。</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三）培养输送的高水平体育后备人才（包括非在编运动员）代表天津市在全国年度最高水平比赛中获得第一名、第二名、第三名，奖励标准为10000元、8000元、6000元。代表蓟州区在天津市最高水平比赛中获得第一名、第二名、第三名，奖励标准为3000元、1500元、1000元。</w:t>
      </w:r>
    </w:p>
    <w:p>
      <w:pPr>
        <w:pStyle w:val="2"/>
        <w:keepNext w:val="0"/>
        <w:keepLines w:val="0"/>
        <w:widowControl/>
        <w:suppressLineNumbers w:val="0"/>
        <w:snapToGrid w:val="0"/>
        <w:spacing w:after="0" w:afterAutospacing="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第五条 直接输送高水平体育后备人才及培养输送高水平体育后备人才（包括非在编运动员）代表天津市在全国年度最高水平比赛和代表蓟州区在天津市最高水平比赛中获得前三名的各级各类事业单位，参照社会机构激励标准执行。</w:t>
      </w:r>
    </w:p>
    <w:p>
      <w:pPr>
        <w:pStyle w:val="2"/>
        <w:keepNext w:val="0"/>
        <w:keepLines w:val="0"/>
        <w:widowControl/>
        <w:suppressLineNumbers w:val="0"/>
        <w:snapToGrid w:val="0"/>
        <w:spacing w:after="0" w:afterAutospacing="0"/>
        <w:jc w:val="center"/>
        <w:rPr>
          <w:rFonts w:hint="eastAsia" w:ascii="宋体" w:hAnsi="宋体" w:eastAsia="宋体" w:cs="宋体"/>
          <w:color w:val="555555"/>
          <w:sz w:val="24"/>
          <w:szCs w:val="24"/>
        </w:rPr>
      </w:pPr>
      <w:r>
        <w:rPr>
          <w:rFonts w:hint="eastAsia" w:ascii="楷体" w:hAnsi="楷体" w:eastAsia="楷体" w:cs="楷体"/>
          <w:b/>
          <w:color w:val="555555"/>
          <w:sz w:val="32"/>
          <w:szCs w:val="32"/>
          <w:bdr w:val="none" w:color="auto" w:sz="0" w:space="0"/>
        </w:rPr>
        <w:t>第三章 认定依据及审批</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第六条 以办理市优秀运动队入队人事档案关系、获得市体育运动学校录取通知书、取得学籍，代表天津市参加全国最高水平比赛和代表蓟州区在天津市最高水平比赛中获得前三名的秩序册、成绩册、获奖证书等材料为认定依据。</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第七条 业余训练单位培养体育后备人才连续时间满一年的方可认定为培养输送单位。</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第八条 区体育局作为唯一高水平体育后备人才汇总申报单位，申报时间为每年11月下旬。</w:t>
      </w:r>
    </w:p>
    <w:p>
      <w:pPr>
        <w:pStyle w:val="2"/>
        <w:keepNext w:val="0"/>
        <w:keepLines w:val="0"/>
        <w:widowControl/>
        <w:suppressLineNumbers w:val="0"/>
        <w:snapToGrid w:val="0"/>
        <w:spacing w:after="0" w:afterAutospacing="0"/>
        <w:jc w:val="center"/>
        <w:rPr>
          <w:rFonts w:hint="eastAsia" w:ascii="宋体" w:hAnsi="宋体" w:eastAsia="宋体" w:cs="宋体"/>
          <w:color w:val="555555"/>
          <w:sz w:val="24"/>
          <w:szCs w:val="24"/>
        </w:rPr>
      </w:pPr>
      <w:r>
        <w:rPr>
          <w:rFonts w:hint="eastAsia" w:ascii="楷体" w:hAnsi="楷体" w:eastAsia="楷体" w:cs="楷体"/>
          <w:b/>
          <w:color w:val="555555"/>
          <w:sz w:val="32"/>
          <w:szCs w:val="32"/>
          <w:bdr w:val="none" w:color="auto" w:sz="0" w:space="0"/>
        </w:rPr>
        <w:t>第四章 附则</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第九条 区体育局按照本办法规定的奖励范围和标准，研究确定培养输送项目资金建议方案。区财政局根据区体育局提出的项目经费分配建议方案，审核确定分配额度，并按照预算管理规定，及时批复区体育局项目经费。</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xml:space="preserve">第十条 本办法由区体育局负责解释。 </w:t>
      </w:r>
    </w:p>
    <w:p>
      <w:pPr>
        <w:pStyle w:val="2"/>
        <w:keepNext w:val="0"/>
        <w:keepLines w:val="0"/>
        <w:widowControl/>
        <w:suppressLineNumbers w:val="0"/>
        <w:snapToGrid w:val="0"/>
        <w:spacing w:after="0" w:afterAutospacing="0"/>
        <w:ind w:left="0" w:firstLine="480"/>
        <w:jc w:val="left"/>
        <w:rPr>
          <w:rFonts w:hint="eastAsia" w:ascii="宋体" w:hAnsi="宋体" w:eastAsia="宋体" w:cs="宋体"/>
          <w:color w:val="555555"/>
          <w:sz w:val="24"/>
          <w:szCs w:val="24"/>
        </w:rPr>
      </w:pPr>
      <w:r>
        <w:rPr>
          <w:rFonts w:hint="eastAsia" w:ascii="仿宋" w:hAnsi="仿宋" w:eastAsia="仿宋" w:cs="仿宋"/>
          <w:color w:val="555555"/>
          <w:sz w:val="32"/>
          <w:szCs w:val="32"/>
          <w:bdr w:val="none" w:color="auto" w:sz="0" w:space="0"/>
        </w:rPr>
        <w:t xml:space="preserve">第十一条 本《办法》有效期五年。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D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2020-12-18T08:11:25Z</dcterms:created>
  <dc:creator>Administrator</dc:creator>
  <cp:lastModifiedBy>Administrator</cp:lastModifiedBy>
  <dcterms:modified xsi:type="dcterms:W3CDTF">2020-12-18T08:11:54Z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